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CD36">
      <w:pPr>
        <w:spacing w:line="276" w:lineRule="auto"/>
        <w:jc w:val="left"/>
        <w:rPr>
          <w:rFonts w:ascii="宋体" w:cs="宋体"/>
          <w:sz w:val="52"/>
          <w:szCs w:val="52"/>
        </w:rPr>
      </w:pPr>
      <w:r>
        <w:rPr>
          <w:rFonts w:hint="eastAsia" w:ascii="宋体" w:cs="宋体"/>
          <w:sz w:val="24"/>
          <w:szCs w:val="24"/>
        </w:rPr>
        <w:t xml:space="preserve"> </w:t>
      </w:r>
    </w:p>
    <w:p w14:paraId="30915B35">
      <w:pPr>
        <w:jc w:val="center"/>
        <w:rPr>
          <w:color w:val="000000"/>
          <w:sz w:val="44"/>
          <w:szCs w:val="44"/>
        </w:rPr>
      </w:pPr>
      <w:bookmarkStart w:id="0" w:name="_Toc451610891"/>
      <w:bookmarkStart w:id="1" w:name="_Toc451610984"/>
    </w:p>
    <w:p w14:paraId="73879B91">
      <w:pPr>
        <w:jc w:val="center"/>
        <w:rPr>
          <w:b/>
          <w:color w:val="000000"/>
          <w:sz w:val="48"/>
          <w:szCs w:val="48"/>
        </w:rPr>
      </w:pPr>
      <w:r>
        <w:rPr>
          <w:rFonts w:hint="eastAsia"/>
          <w:b/>
          <w:color w:val="000000"/>
          <w:sz w:val="48"/>
          <w:szCs w:val="48"/>
        </w:rPr>
        <w:t>浙江华川实业集团有限公司</w:t>
      </w:r>
    </w:p>
    <w:p w14:paraId="6F43F58E">
      <w:pPr>
        <w:jc w:val="center"/>
        <w:rPr>
          <w:color w:val="000000"/>
          <w:sz w:val="44"/>
          <w:szCs w:val="44"/>
        </w:rPr>
      </w:pPr>
      <w:r>
        <w:rPr>
          <w:rFonts w:hint="eastAsia"/>
          <w:color w:val="000000"/>
          <w:sz w:val="44"/>
          <w:szCs w:val="44"/>
        </w:rPr>
        <w:t xml:space="preserve"> 社会责任报告</w:t>
      </w:r>
    </w:p>
    <w:p w14:paraId="5E5360FF">
      <w:pPr>
        <w:jc w:val="center"/>
        <w:rPr>
          <w:color w:val="000000"/>
          <w:sz w:val="44"/>
          <w:szCs w:val="44"/>
        </w:rPr>
      </w:pPr>
      <w:r>
        <w:rPr>
          <w:b/>
        </w:rPr>
        <w:drawing>
          <wp:inline distT="0" distB="0" distL="0" distR="0">
            <wp:extent cx="5274310" cy="4438015"/>
            <wp:effectExtent l="19050" t="0" r="2540" b="0"/>
            <wp:docPr id="1" name="图片 1" descr="新办公楼图片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办公楼图片_副本"/>
                    <pic:cNvPicPr>
                      <a:picLocks noChangeAspect="1" noChangeArrowheads="1"/>
                    </pic:cNvPicPr>
                  </pic:nvPicPr>
                  <pic:blipFill>
                    <a:blip r:embed="rId4" cstate="print"/>
                    <a:srcRect/>
                    <a:stretch>
                      <a:fillRect/>
                    </a:stretch>
                  </pic:blipFill>
                  <pic:spPr>
                    <a:xfrm>
                      <a:off x="0" y="0"/>
                      <a:ext cx="5274310" cy="4438592"/>
                    </a:xfrm>
                    <a:prstGeom prst="rect">
                      <a:avLst/>
                    </a:prstGeom>
                    <a:noFill/>
                    <a:ln w="9525">
                      <a:noFill/>
                      <a:miter lim="800000"/>
                      <a:headEnd/>
                      <a:tailEnd/>
                    </a:ln>
                  </pic:spPr>
                </pic:pic>
              </a:graphicData>
            </a:graphic>
          </wp:inline>
        </w:drawing>
      </w:r>
    </w:p>
    <w:p w14:paraId="4730A48F">
      <w:pPr>
        <w:jc w:val="center"/>
      </w:pPr>
      <w:r>
        <w:rPr>
          <w:rFonts w:hint="eastAsia" w:ascii="仿宋" w:eastAsia="仿宋"/>
          <w:b/>
          <w:color w:val="000000"/>
          <w:sz w:val="36"/>
          <w:szCs w:val="36"/>
        </w:rPr>
        <w:t>202</w:t>
      </w:r>
      <w:r>
        <w:rPr>
          <w:rFonts w:hint="eastAsia" w:ascii="仿宋" w:eastAsia="仿宋"/>
          <w:b/>
          <w:color w:val="000000"/>
          <w:sz w:val="36"/>
          <w:szCs w:val="36"/>
          <w:lang w:val="en-US" w:eastAsia="zh-CN"/>
        </w:rPr>
        <w:t>5</w:t>
      </w:r>
      <w:r>
        <w:rPr>
          <w:rFonts w:hint="eastAsia" w:ascii="仿宋" w:eastAsia="仿宋"/>
          <w:b/>
          <w:color w:val="000000"/>
          <w:sz w:val="36"/>
          <w:szCs w:val="36"/>
        </w:rPr>
        <w:t>年</w:t>
      </w:r>
      <w:r>
        <w:rPr>
          <w:rFonts w:hint="eastAsia" w:ascii="仿宋" w:eastAsia="仿宋"/>
          <w:b/>
          <w:color w:val="000000"/>
          <w:sz w:val="36"/>
          <w:szCs w:val="36"/>
          <w:lang w:val="en-US" w:eastAsia="zh-CN"/>
        </w:rPr>
        <w:t>12</w:t>
      </w:r>
      <w:r>
        <w:rPr>
          <w:rFonts w:hint="eastAsia" w:ascii="仿宋" w:eastAsia="仿宋"/>
          <w:b/>
          <w:color w:val="000000"/>
          <w:sz w:val="36"/>
          <w:szCs w:val="36"/>
        </w:rPr>
        <w:t>月</w:t>
      </w:r>
    </w:p>
    <w:p w14:paraId="34BC753D"/>
    <w:p w14:paraId="6DE64D82">
      <w:pPr>
        <w:widowControl/>
        <w:spacing w:afterLines="50"/>
        <w:jc w:val="center"/>
        <w:rPr>
          <w:rFonts w:ascii="宋体" w:cs="宋体"/>
          <w:b/>
          <w:bCs/>
          <w:color w:val="000000"/>
          <w:kern w:val="32"/>
          <w:sz w:val="44"/>
          <w:szCs w:val="44"/>
        </w:rPr>
      </w:pPr>
      <w:r>
        <w:rPr>
          <w:rFonts w:ascii="宋体" w:cs="Times New Roman"/>
          <w:b/>
          <w:color w:val="000000"/>
          <w:sz w:val="28"/>
          <w:szCs w:val="24"/>
        </w:rPr>
        <w:br w:type="page"/>
      </w:r>
      <w:r>
        <w:rPr>
          <w:rFonts w:hint="eastAsia" w:ascii="宋体" w:cs="宋体"/>
          <w:b/>
          <w:bCs/>
          <w:color w:val="000000"/>
          <w:kern w:val="32"/>
          <w:sz w:val="44"/>
          <w:szCs w:val="44"/>
        </w:rPr>
        <w:t>前言</w:t>
      </w:r>
    </w:p>
    <w:p w14:paraId="3D081426">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本公司出具的社会责任报告，是依据国家有关社会责任方面的法律法规、规章及相关行业质量标准、规范等进行编制。报告中关于公司社会责任履行情况是对公司现状的真实反映，本公司对报告内容的客观性负责，对相关论述和结论真实性负责。</w:t>
      </w:r>
    </w:p>
    <w:p w14:paraId="5C71478C">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报告范围：</w:t>
      </w:r>
    </w:p>
    <w:p w14:paraId="6F5EC22C">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本报告的组织范围为浙江华川实业集团有限公司。本报告描述了</w:t>
      </w:r>
      <w:r>
        <w:rPr>
          <w:rFonts w:ascii="宋体" w:cs="宋体"/>
          <w:color w:val="000000"/>
          <w:kern w:val="0"/>
          <w:sz w:val="24"/>
          <w:szCs w:val="24"/>
        </w:rPr>
        <w:t>202</w:t>
      </w:r>
      <w:r>
        <w:rPr>
          <w:rFonts w:hint="eastAsia" w:ascii="宋体" w:cs="宋体"/>
          <w:color w:val="000000"/>
          <w:kern w:val="0"/>
          <w:sz w:val="24"/>
          <w:szCs w:val="24"/>
          <w:lang w:val="en-US" w:eastAsia="zh-CN"/>
        </w:rPr>
        <w:t>5</w:t>
      </w:r>
      <w:r>
        <w:rPr>
          <w:rFonts w:hint="eastAsia" w:ascii="宋体" w:cs="宋体"/>
          <w:color w:val="000000"/>
          <w:kern w:val="0"/>
          <w:sz w:val="24"/>
          <w:szCs w:val="24"/>
        </w:rPr>
        <w:t>年1月</w:t>
      </w:r>
      <w:r>
        <w:rPr>
          <w:rFonts w:ascii="宋体" w:cs="宋体"/>
          <w:color w:val="000000"/>
          <w:kern w:val="0"/>
          <w:sz w:val="24"/>
          <w:szCs w:val="24"/>
        </w:rPr>
        <w:t>1</w:t>
      </w:r>
      <w:r>
        <w:rPr>
          <w:rFonts w:hint="eastAsia" w:ascii="宋体" w:cs="宋体"/>
          <w:color w:val="000000"/>
          <w:kern w:val="0"/>
          <w:sz w:val="24"/>
          <w:szCs w:val="24"/>
        </w:rPr>
        <w:t>日至</w:t>
      </w:r>
      <w:r>
        <w:rPr>
          <w:rFonts w:ascii="宋体" w:cs="宋体"/>
          <w:color w:val="000000"/>
          <w:kern w:val="0"/>
          <w:sz w:val="24"/>
          <w:szCs w:val="24"/>
        </w:rPr>
        <w:t>202</w:t>
      </w:r>
      <w:r>
        <w:rPr>
          <w:rFonts w:hint="eastAsia" w:ascii="宋体" w:cs="宋体"/>
          <w:color w:val="000000"/>
          <w:kern w:val="0"/>
          <w:sz w:val="24"/>
          <w:szCs w:val="24"/>
          <w:lang w:val="en-US" w:eastAsia="zh-CN"/>
        </w:rPr>
        <w:t>5</w:t>
      </w:r>
      <w:r>
        <w:rPr>
          <w:rFonts w:hint="eastAsia" w:ascii="宋体" w:cs="宋体"/>
          <w:color w:val="000000"/>
          <w:kern w:val="0"/>
          <w:sz w:val="24"/>
          <w:szCs w:val="24"/>
        </w:rPr>
        <w:t>年12月31日期间，公司在社会责任方面的措施和取得的绩效等。</w:t>
      </w:r>
    </w:p>
    <w:p w14:paraId="7250C4C7">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报告发布形式：</w:t>
      </w:r>
    </w:p>
    <w:p w14:paraId="14369D45">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本公司每年定期发布一次社会责任报告，本报告以</w:t>
      </w:r>
      <w:r>
        <w:rPr>
          <w:rFonts w:ascii="宋体" w:cs="宋体"/>
          <w:color w:val="000000"/>
          <w:kern w:val="0"/>
          <w:sz w:val="24"/>
          <w:szCs w:val="24"/>
        </w:rPr>
        <w:t>PDF</w:t>
      </w:r>
      <w:r>
        <w:rPr>
          <w:rFonts w:hint="eastAsia" w:ascii="宋体" w:cs="宋体"/>
          <w:color w:val="000000"/>
          <w:kern w:val="0"/>
          <w:sz w:val="24"/>
          <w:szCs w:val="24"/>
        </w:rPr>
        <w:t>电子文档形式通过网络向社会</w:t>
      </w:r>
      <w:r>
        <w:rPr>
          <w:rFonts w:hint="eastAsia" w:ascii="宋体" w:cs="宋体"/>
          <w:kern w:val="0"/>
          <w:sz w:val="24"/>
          <w:szCs w:val="24"/>
        </w:rPr>
        <w:t>公布</w:t>
      </w:r>
      <w:r>
        <w:rPr>
          <w:rFonts w:hint="eastAsia" w:ascii="宋体" w:cs="宋体"/>
          <w:color w:val="000000"/>
          <w:kern w:val="0"/>
          <w:sz w:val="24"/>
          <w:szCs w:val="24"/>
        </w:rPr>
        <w:t>，欢迎下载阅读并提出宝贵意见。公司希望通过本报告的发布来吸收利益相关方的意和建议，获得改进机会，以推进社会责任与公司发展战略、运营管理的融合发展。</w:t>
      </w:r>
    </w:p>
    <w:p w14:paraId="2787DAEE">
      <w:pPr>
        <w:spacing w:line="360" w:lineRule="auto"/>
        <w:ind w:firstLine="480" w:firstLineChars="200"/>
        <w:rPr>
          <w:rFonts w:ascii="宋体" w:cs="宋体"/>
          <w:color w:val="000000"/>
          <w:kern w:val="0"/>
          <w:sz w:val="24"/>
          <w:szCs w:val="24"/>
        </w:rPr>
      </w:pPr>
    </w:p>
    <w:p w14:paraId="5509F211">
      <w:pPr>
        <w:spacing w:line="360" w:lineRule="auto"/>
        <w:ind w:firstLine="720" w:firstLineChars="300"/>
        <w:jc w:val="right"/>
        <w:rPr>
          <w:rFonts w:ascii="宋体" w:cs="宋体"/>
          <w:color w:val="000000"/>
          <w:kern w:val="0"/>
          <w:sz w:val="24"/>
          <w:szCs w:val="24"/>
        </w:rPr>
      </w:pPr>
      <w:r>
        <w:rPr>
          <w:rFonts w:hint="eastAsia" w:ascii="宋体" w:cs="宋体"/>
          <w:color w:val="000000"/>
          <w:kern w:val="0"/>
          <w:sz w:val="24"/>
          <w:szCs w:val="24"/>
        </w:rPr>
        <w:t>总经理：</w:t>
      </w:r>
      <w:r>
        <w:rPr>
          <w:rFonts w:hint="eastAsia" w:ascii="宋体" w:hAnsi="宋体"/>
          <w:b/>
          <w:szCs w:val="21"/>
          <w:u w:val="single"/>
        </w:rPr>
        <w:t>冯潮兴</w:t>
      </w:r>
    </w:p>
    <w:p w14:paraId="0647D0D6">
      <w:pPr>
        <w:spacing w:line="360" w:lineRule="auto"/>
        <w:ind w:firstLine="720" w:firstLineChars="300"/>
        <w:jc w:val="right"/>
        <w:rPr>
          <w:rFonts w:ascii="宋体" w:cs="宋体"/>
          <w:color w:val="000000"/>
          <w:kern w:val="0"/>
          <w:sz w:val="24"/>
          <w:szCs w:val="24"/>
        </w:rPr>
      </w:pPr>
      <w:r>
        <w:rPr>
          <w:rFonts w:hint="eastAsia" w:ascii="宋体" w:cs="宋体"/>
          <w:color w:val="000000"/>
          <w:kern w:val="0"/>
          <w:sz w:val="24"/>
          <w:szCs w:val="24"/>
        </w:rPr>
        <w:t>2</w:t>
      </w:r>
      <w:r>
        <w:rPr>
          <w:rFonts w:ascii="宋体" w:cs="宋体"/>
          <w:color w:val="000000"/>
          <w:kern w:val="0"/>
          <w:sz w:val="24"/>
          <w:szCs w:val="24"/>
        </w:rPr>
        <w:t>02</w:t>
      </w:r>
      <w:r>
        <w:rPr>
          <w:rFonts w:hint="eastAsia" w:ascii="宋体" w:cs="宋体"/>
          <w:color w:val="000000"/>
          <w:kern w:val="0"/>
          <w:sz w:val="24"/>
          <w:szCs w:val="24"/>
          <w:lang w:val="en-US" w:eastAsia="zh-CN"/>
        </w:rPr>
        <w:t>6</w:t>
      </w:r>
      <w:r>
        <w:rPr>
          <w:rFonts w:hint="eastAsia" w:ascii="宋体" w:cs="宋体"/>
          <w:color w:val="000000"/>
          <w:kern w:val="0"/>
          <w:sz w:val="24"/>
          <w:szCs w:val="24"/>
        </w:rPr>
        <w:t>年</w:t>
      </w:r>
      <w:r>
        <w:rPr>
          <w:rFonts w:hint="eastAsia" w:ascii="宋体" w:cs="宋体"/>
          <w:color w:val="000000"/>
          <w:kern w:val="0"/>
          <w:sz w:val="24"/>
          <w:szCs w:val="24"/>
          <w:lang w:val="en-US" w:eastAsia="zh-CN"/>
        </w:rPr>
        <w:t>1</w:t>
      </w:r>
      <w:r>
        <w:rPr>
          <w:rFonts w:hint="eastAsia" w:ascii="宋体" w:cs="宋体"/>
          <w:color w:val="000000"/>
          <w:kern w:val="0"/>
          <w:sz w:val="24"/>
          <w:szCs w:val="24"/>
        </w:rPr>
        <w:t>月</w:t>
      </w:r>
      <w:r>
        <w:rPr>
          <w:rFonts w:hint="eastAsia" w:ascii="宋体" w:cs="宋体"/>
          <w:color w:val="000000"/>
          <w:kern w:val="0"/>
          <w:sz w:val="24"/>
          <w:szCs w:val="24"/>
          <w:lang w:val="en-US" w:eastAsia="zh-CN"/>
        </w:rPr>
        <w:t>9</w:t>
      </w:r>
      <w:r>
        <w:rPr>
          <w:rFonts w:hint="eastAsia" w:ascii="宋体" w:cs="宋体"/>
          <w:color w:val="000000"/>
          <w:kern w:val="0"/>
          <w:sz w:val="24"/>
          <w:szCs w:val="24"/>
        </w:rPr>
        <w:t>日</w:t>
      </w:r>
    </w:p>
    <w:p w14:paraId="767E3A71">
      <w:pPr>
        <w:spacing w:beforeLines="50" w:afterLines="50" w:line="360" w:lineRule="auto"/>
        <w:outlineLvl w:val="0"/>
        <w:rPr>
          <w:rFonts w:ascii="宋体" w:cs="Times New Roman"/>
          <w:b/>
          <w:color w:val="000000"/>
          <w:sz w:val="28"/>
          <w:szCs w:val="24"/>
        </w:rPr>
      </w:pPr>
      <w:r>
        <w:rPr>
          <w:rFonts w:ascii="宋体" w:cs="宋体"/>
          <w:color w:val="000000"/>
          <w:kern w:val="0"/>
          <w:szCs w:val="21"/>
        </w:rPr>
        <w:br w:type="page"/>
      </w:r>
      <w:r>
        <w:rPr>
          <w:rFonts w:hint="eastAsia" w:ascii="宋体" w:cs="Times New Roman"/>
          <w:b/>
          <w:color w:val="000000"/>
          <w:sz w:val="28"/>
          <w:szCs w:val="24"/>
        </w:rPr>
        <w:t>一、浙江华川实业集团有限公司</w:t>
      </w:r>
      <w:r>
        <w:rPr>
          <w:rFonts w:ascii="宋体" w:cs="Times New Roman"/>
          <w:b/>
          <w:color w:val="000000"/>
          <w:sz w:val="28"/>
          <w:szCs w:val="24"/>
        </w:rPr>
        <w:t>简介</w:t>
      </w:r>
    </w:p>
    <w:p w14:paraId="2AE11AE5">
      <w:pPr>
        <w:spacing w:line="360" w:lineRule="auto"/>
        <w:ind w:firstLine="480" w:firstLineChars="200"/>
        <w:rPr>
          <w:sz w:val="24"/>
        </w:rPr>
      </w:pPr>
      <w:r>
        <w:rPr>
          <w:rFonts w:hint="eastAsia"/>
          <w:sz w:val="24"/>
        </w:rPr>
        <w:t>浙江华川实业集团有限公司位于长三角最具经济、贸易活力的地区之一——义乌市。公司始创于1966年,于1998年12月组建成立集团公司，集团本部注册资金2</w:t>
      </w:r>
      <w:r>
        <w:rPr>
          <w:rFonts w:hint="eastAsia"/>
          <w:sz w:val="24"/>
          <w:lang w:val="en-US" w:eastAsia="zh-CN"/>
        </w:rPr>
        <w:t>1</w:t>
      </w:r>
      <w:r>
        <w:rPr>
          <w:rFonts w:hint="eastAsia"/>
          <w:sz w:val="24"/>
        </w:rPr>
        <w:t>350万元，资产总额47.5亿元，是一家集团化管理多元化经营的国家高新技术型企业。经过多年的滚动发展，其产业涉及造纸、垃圾焚烧发电、集中供热、污泥处理、印染、物流、科技和投资等领域。在全国已拥有多家全资和控股公司（浙江华川深能环保有限公司、山东淄博华川置业有限公司、湖南华川商贸有限公司、义乌华川小额贷款股份有限公司、义乌华川彩印包装有限公司、义乌华川废纸经营有限公司、义乌市华川印染有限公司</w:t>
      </w:r>
      <w:r>
        <w:rPr>
          <w:rFonts w:hint="eastAsia"/>
          <w:sz w:val="24"/>
          <w:lang w:val="en-US" w:eastAsia="zh-CN"/>
        </w:rPr>
        <w:t>等</w:t>
      </w:r>
      <w:r>
        <w:rPr>
          <w:rFonts w:hint="eastAsia"/>
          <w:sz w:val="24"/>
        </w:rPr>
        <w:t>）。</w:t>
      </w:r>
    </w:p>
    <w:p w14:paraId="6F52838D">
      <w:pPr>
        <w:spacing w:line="360" w:lineRule="auto"/>
        <w:ind w:firstLine="480" w:firstLineChars="200"/>
        <w:rPr>
          <w:sz w:val="24"/>
        </w:rPr>
      </w:pPr>
      <w:r>
        <w:rPr>
          <w:rFonts w:hint="eastAsia"/>
          <w:sz w:val="24"/>
        </w:rPr>
        <w:t xml:space="preserve"> 集团本部占地面积37余万平方米，建筑面积11万平方米，员工2000余人，拥有中、高级职称的技术人员180人，研发人员160余人。公司现有10条造纸生产线，各类纸张年产能60余万吨。主要产品有牛皮纸、中高强瓦楞原纸等包装用纸及半透明纸、格拉辛纸、装饰原纸、复合原纸、医用淋膜原纸、瓜子袋纸、无纺原纸等特种纸品。形成了一个以“纸业为主、多业并举”的多元化、多层次、跨地区、跨行业的联合经营现代企业集团。</w:t>
      </w:r>
    </w:p>
    <w:p w14:paraId="5A27C6DD">
      <w:pPr>
        <w:spacing w:line="360" w:lineRule="auto"/>
        <w:ind w:firstLine="480" w:firstLineChars="200"/>
        <w:rPr>
          <w:sz w:val="24"/>
        </w:rPr>
      </w:pPr>
      <w:r>
        <w:rPr>
          <w:rFonts w:hint="eastAsia"/>
          <w:sz w:val="24"/>
        </w:rPr>
        <w:t>目前集团旗下建有国家高新技术企业、省级高分子材料研发中心，以科技改革创新为突破口，不断开发新产品，提高产品质量，助推企业转型升级。高度注重节能减排工作，坚持科学发展，积极推进清洁生产、重视节能降耗和环境保护。近几年来，环保投资累计达2亿多元，实现了废水、废气、固体废弃物的综合治理并达标排放，取得经济效益、环境效益和社会效益的多赢。</w:t>
      </w:r>
    </w:p>
    <w:p w14:paraId="357640BD">
      <w:pPr>
        <w:spacing w:line="360" w:lineRule="auto"/>
        <w:ind w:firstLine="480" w:firstLineChars="200"/>
        <w:rPr>
          <w:sz w:val="24"/>
        </w:rPr>
      </w:pPr>
      <w:r>
        <w:rPr>
          <w:rFonts w:hint="eastAsia"/>
          <w:sz w:val="24"/>
        </w:rPr>
        <w:t xml:space="preserve"> 集团坚持规范化管理理念，建立了一套较为科学、系统、严谨的管理体系和与之相配套的制度。企业连续多次被评为浙江省“守合同重信用”单位、特级信用单位、浙江省诚信企业；先后通过了质量、环境、职业健康、能源、专利、两化融合体系认证； 2004年“华川”牌商标被认定为浙江省著名商标；2007年被评为“浙江省首批公众满意优势单位”；2008年起连续三次通过清洁生产审核；2011年获浙江省工业循环经济示范企业、信用AAA等荣誉称号；2013年被商务部授予“典型统计企业”荣誉称号;2014获国家高新技术型企业、省级科技型企业、2016年获省级专利示范企业荣誉称号。</w:t>
      </w:r>
    </w:p>
    <w:p w14:paraId="710FFFAE">
      <w:pPr>
        <w:spacing w:line="360" w:lineRule="auto"/>
        <w:ind w:firstLine="480" w:firstLineChars="200"/>
        <w:rPr>
          <w:rFonts w:ascii="宋体" w:hAnsi="Times New Roman" w:cs="宋体"/>
          <w:color w:val="000000"/>
          <w:kern w:val="0"/>
          <w:sz w:val="24"/>
          <w:szCs w:val="24"/>
        </w:rPr>
      </w:pPr>
      <w:r>
        <w:rPr>
          <w:rFonts w:hint="eastAsia" w:ascii="宋体" w:hAnsi="Times New Roman" w:cs="宋体"/>
          <w:color w:val="000000"/>
          <w:kern w:val="0"/>
          <w:sz w:val="24"/>
          <w:szCs w:val="24"/>
        </w:rPr>
        <w:t>志存高远，锐意进取。经过54年的历练与积淀，华川企业文化积累了丰厚底蕴，华川集团秉承“以人为本，循环高效，绿色环保，百年企业”的经营目标，发扬“严谨求实，艰苦奋斗，团结实干，拼搏创新”工作作风，将华川集团的品牌理念、环保理念与创新理念提升到一个新的高度，用实际行动更加真诚的履行一名企业公民的社会责任。</w:t>
      </w:r>
    </w:p>
    <w:p w14:paraId="4782A3A2">
      <w:pPr>
        <w:spacing w:line="360" w:lineRule="auto"/>
        <w:ind w:firstLine="420" w:firstLineChars="200"/>
      </w:pPr>
    </w:p>
    <w:p w14:paraId="179435A1">
      <w:pPr>
        <w:spacing w:line="360" w:lineRule="auto"/>
        <w:ind w:firstLine="562" w:firstLineChars="200"/>
        <w:rPr>
          <w:rFonts w:ascii="宋体" w:cs="Times New Roman"/>
          <w:b/>
          <w:color w:val="000000"/>
          <w:sz w:val="28"/>
          <w:szCs w:val="24"/>
        </w:rPr>
      </w:pPr>
      <w:r>
        <w:rPr>
          <w:rFonts w:ascii="宋体" w:cs="Times New Roman"/>
          <w:b/>
          <w:color w:val="000000"/>
          <w:sz w:val="28"/>
          <w:szCs w:val="24"/>
        </w:rPr>
        <w:br w:type="page"/>
      </w:r>
      <w:r>
        <w:rPr>
          <w:rFonts w:hint="eastAsia" w:ascii="宋体" w:cs="Times New Roman"/>
          <w:b/>
          <w:color w:val="000000"/>
          <w:sz w:val="28"/>
          <w:szCs w:val="24"/>
        </w:rPr>
        <w:t>二、</w:t>
      </w:r>
      <w:r>
        <w:rPr>
          <w:rFonts w:ascii="宋体" w:cs="Times New Roman"/>
          <w:b/>
          <w:color w:val="000000"/>
          <w:sz w:val="28"/>
          <w:szCs w:val="24"/>
        </w:rPr>
        <w:t>组织架构</w:t>
      </w:r>
      <w:r>
        <w:rPr>
          <w:rFonts w:hint="eastAsia" w:ascii="宋体" w:cs="Times New Roman"/>
          <w:b/>
          <w:color w:val="000000"/>
          <w:sz w:val="28"/>
          <w:szCs w:val="24"/>
        </w:rPr>
        <w:t>及</w:t>
      </w:r>
      <w:r>
        <w:rPr>
          <w:rFonts w:ascii="宋体" w:cs="Times New Roman"/>
          <w:b/>
          <w:color w:val="000000"/>
          <w:sz w:val="28"/>
          <w:szCs w:val="24"/>
        </w:rPr>
        <w:t>主要产品</w:t>
      </w:r>
    </w:p>
    <w:p w14:paraId="3270CDCA">
      <w:pPr>
        <w:spacing w:beforeLines="50" w:afterLines="50" w:line="360" w:lineRule="auto"/>
        <w:outlineLvl w:val="0"/>
        <w:rPr>
          <w:rFonts w:ascii="宋体" w:cs="宋体"/>
          <w:b/>
          <w:color w:val="000000"/>
          <w:kern w:val="0"/>
          <w:szCs w:val="21"/>
        </w:rPr>
      </w:pPr>
      <w:r>
        <w:rPr>
          <w:rFonts w:ascii="宋体" w:cs="宋体"/>
          <w:b/>
          <w:color w:val="000000"/>
          <w:kern w:val="0"/>
          <w:szCs w:val="21"/>
        </w:rPr>
        <w:t>1</w:t>
      </w:r>
      <w:r>
        <w:rPr>
          <w:rFonts w:hint="eastAsia" w:ascii="宋体" w:cs="宋体"/>
          <w:b/>
          <w:color w:val="000000"/>
          <w:kern w:val="0"/>
          <w:szCs w:val="21"/>
        </w:rPr>
        <w:t>、组织</w:t>
      </w:r>
      <w:r>
        <w:rPr>
          <w:rFonts w:ascii="宋体" w:cs="宋体"/>
          <w:b/>
          <w:color w:val="000000"/>
          <w:kern w:val="0"/>
          <w:szCs w:val="21"/>
        </w:rPr>
        <w:t>架构图</w:t>
      </w:r>
    </w:p>
    <w:p w14:paraId="67E8EEBD">
      <w:pPr>
        <w:snapToGrid w:val="0"/>
        <w:spacing w:line="300" w:lineRule="auto"/>
        <w:jc w:val="center"/>
        <w:rPr>
          <w:rFonts w:ascii="宋体"/>
          <w:b/>
          <w:sz w:val="22"/>
        </w:rPr>
      </w:pPr>
      <w:r>
        <w:rPr>
          <w:rFonts w:hint="eastAsia" w:ascii="宋体"/>
          <w:b/>
          <w:sz w:val="22"/>
        </w:rPr>
        <w:drawing>
          <wp:anchor distT="0" distB="0" distL="114300" distR="114300" simplePos="0" relativeHeight="251659264" behindDoc="0" locked="0" layoutInCell="1" allowOverlap="1">
            <wp:simplePos x="0" y="0"/>
            <wp:positionH relativeFrom="column">
              <wp:posOffset>-729615</wp:posOffset>
            </wp:positionH>
            <wp:positionV relativeFrom="paragraph">
              <wp:posOffset>1145540</wp:posOffset>
            </wp:positionV>
            <wp:extent cx="6936105" cy="3418840"/>
            <wp:effectExtent l="95250" t="0" r="74102" b="0"/>
            <wp:wrapNone/>
            <wp:docPr id="4"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14:paraId="46D22D08">
      <w:pPr>
        <w:spacing w:beforeLines="50" w:afterLines="50" w:line="360" w:lineRule="auto"/>
        <w:outlineLvl w:val="0"/>
        <w:rPr>
          <w:rFonts w:hint="eastAsia" w:ascii="宋体" w:cs="Times New Roman"/>
          <w:b/>
          <w:color w:val="000000"/>
          <w:sz w:val="24"/>
          <w:szCs w:val="24"/>
        </w:rPr>
      </w:pPr>
    </w:p>
    <w:p w14:paraId="72586425">
      <w:pPr>
        <w:spacing w:beforeLines="50" w:afterLines="50" w:line="360" w:lineRule="auto"/>
        <w:outlineLvl w:val="0"/>
        <w:rPr>
          <w:rFonts w:hint="eastAsia" w:ascii="宋体" w:cs="Times New Roman"/>
          <w:b/>
          <w:color w:val="000000"/>
          <w:sz w:val="24"/>
          <w:szCs w:val="24"/>
        </w:rPr>
      </w:pPr>
    </w:p>
    <w:p w14:paraId="751DA0B2">
      <w:pPr>
        <w:spacing w:beforeLines="50" w:afterLines="50" w:line="360" w:lineRule="auto"/>
        <w:outlineLvl w:val="0"/>
        <w:rPr>
          <w:rFonts w:hint="eastAsia" w:ascii="宋体" w:cs="Times New Roman"/>
          <w:b/>
          <w:color w:val="000000"/>
          <w:sz w:val="24"/>
          <w:szCs w:val="24"/>
        </w:rPr>
      </w:pPr>
    </w:p>
    <w:p w14:paraId="30B5C78B">
      <w:pPr>
        <w:spacing w:beforeLines="50" w:afterLines="50" w:line="360" w:lineRule="auto"/>
        <w:outlineLvl w:val="0"/>
        <w:rPr>
          <w:rFonts w:hint="eastAsia" w:ascii="宋体" w:cs="Times New Roman"/>
          <w:b/>
          <w:color w:val="000000"/>
          <w:sz w:val="24"/>
          <w:szCs w:val="24"/>
        </w:rPr>
      </w:pPr>
    </w:p>
    <w:p w14:paraId="7A90D2A4">
      <w:pPr>
        <w:spacing w:beforeLines="50" w:afterLines="50" w:line="360" w:lineRule="auto"/>
        <w:outlineLvl w:val="0"/>
        <w:rPr>
          <w:rFonts w:hint="eastAsia" w:ascii="宋体" w:cs="Times New Roman"/>
          <w:b/>
          <w:color w:val="000000"/>
          <w:sz w:val="24"/>
          <w:szCs w:val="24"/>
        </w:rPr>
      </w:pPr>
    </w:p>
    <w:p w14:paraId="4D863FF2">
      <w:pPr>
        <w:spacing w:beforeLines="50" w:afterLines="50" w:line="360" w:lineRule="auto"/>
        <w:outlineLvl w:val="0"/>
        <w:rPr>
          <w:rFonts w:hint="eastAsia" w:ascii="宋体" w:cs="Times New Roman"/>
          <w:b/>
          <w:color w:val="000000"/>
          <w:sz w:val="24"/>
          <w:szCs w:val="24"/>
        </w:rPr>
      </w:pPr>
    </w:p>
    <w:p w14:paraId="429CBC5E">
      <w:pPr>
        <w:spacing w:beforeLines="50" w:afterLines="50" w:line="360" w:lineRule="auto"/>
        <w:outlineLvl w:val="0"/>
        <w:rPr>
          <w:rFonts w:hint="eastAsia" w:ascii="宋体" w:cs="Times New Roman"/>
          <w:b/>
          <w:color w:val="000000"/>
          <w:sz w:val="24"/>
          <w:szCs w:val="24"/>
        </w:rPr>
      </w:pPr>
    </w:p>
    <w:p w14:paraId="0A9DC645">
      <w:pPr>
        <w:spacing w:beforeLines="50" w:afterLines="50" w:line="360" w:lineRule="auto"/>
        <w:outlineLvl w:val="0"/>
        <w:rPr>
          <w:rFonts w:hint="eastAsia" w:ascii="宋体" w:cs="Times New Roman"/>
          <w:b/>
          <w:color w:val="000000"/>
          <w:sz w:val="24"/>
          <w:szCs w:val="24"/>
        </w:rPr>
      </w:pPr>
    </w:p>
    <w:p w14:paraId="4A651398">
      <w:pPr>
        <w:spacing w:beforeLines="50" w:afterLines="50" w:line="360" w:lineRule="auto"/>
        <w:outlineLvl w:val="0"/>
        <w:rPr>
          <w:rFonts w:hint="eastAsia" w:ascii="宋体" w:cs="Times New Roman"/>
          <w:b/>
          <w:color w:val="000000"/>
          <w:sz w:val="24"/>
          <w:szCs w:val="24"/>
        </w:rPr>
      </w:pPr>
    </w:p>
    <w:p w14:paraId="3C84338E">
      <w:pPr>
        <w:spacing w:beforeLines="50" w:afterLines="50" w:line="360" w:lineRule="auto"/>
        <w:outlineLvl w:val="0"/>
        <w:rPr>
          <w:rFonts w:hint="eastAsia" w:ascii="宋体" w:cs="Times New Roman"/>
          <w:b/>
          <w:color w:val="000000"/>
          <w:sz w:val="24"/>
          <w:szCs w:val="24"/>
        </w:rPr>
      </w:pPr>
    </w:p>
    <w:p w14:paraId="7E54DD8F">
      <w:pPr>
        <w:spacing w:beforeLines="50" w:afterLines="50" w:line="360" w:lineRule="auto"/>
        <w:outlineLvl w:val="0"/>
        <w:rPr>
          <w:rFonts w:hint="eastAsia" w:ascii="宋体" w:cs="Times New Roman"/>
          <w:b/>
          <w:color w:val="000000"/>
          <w:sz w:val="24"/>
          <w:szCs w:val="24"/>
        </w:rPr>
      </w:pPr>
    </w:p>
    <w:p w14:paraId="0D8B8474">
      <w:pPr>
        <w:spacing w:beforeLines="50" w:afterLines="50" w:line="360" w:lineRule="auto"/>
        <w:outlineLvl w:val="0"/>
        <w:rPr>
          <w:rFonts w:ascii="宋体" w:cs="Times New Roman"/>
          <w:b/>
          <w:color w:val="000000"/>
          <w:sz w:val="24"/>
          <w:szCs w:val="24"/>
        </w:rPr>
      </w:pPr>
      <w:r>
        <w:rPr>
          <w:rFonts w:hint="eastAsia" w:ascii="宋体" w:cs="Times New Roman"/>
          <w:b/>
          <w:color w:val="000000"/>
          <w:sz w:val="24"/>
          <w:szCs w:val="24"/>
        </w:rPr>
        <w:t>2、</w:t>
      </w:r>
      <w:r>
        <w:rPr>
          <w:rFonts w:ascii="宋体" w:cs="Times New Roman"/>
          <w:b/>
          <w:color w:val="000000"/>
          <w:sz w:val="24"/>
          <w:szCs w:val="24"/>
        </w:rPr>
        <w:t>主要产品</w:t>
      </w:r>
    </w:p>
    <w:p w14:paraId="67AC5085">
      <w:pPr>
        <w:pStyle w:val="18"/>
        <w:spacing w:after="0" w:line="360" w:lineRule="auto"/>
        <w:ind w:firstLine="480" w:firstLineChars="200"/>
        <w:rPr>
          <w:sz w:val="24"/>
        </w:rPr>
      </w:pPr>
      <w:r>
        <w:rPr>
          <w:sz w:val="24"/>
        </w:rPr>
        <w:t>浙江华川实业集团有限公司不断研发和生产满足用户需求的主要产品和业务包括：</w:t>
      </w:r>
      <w:bookmarkStart w:id="2" w:name="作为国内十强变压器产品制造商，钱江电气的电力变压器种类涵盖500kV及以下的电力"/>
      <w:bookmarkEnd w:id="2"/>
      <w:bookmarkStart w:id="3" w:name="▲电力变压器制造"/>
      <w:bookmarkEnd w:id="3"/>
      <w:r>
        <w:rPr>
          <w:sz w:val="24"/>
        </w:rPr>
        <w:t>拥有“华川”等著名的产品；公司生产的各系列纸制品主要有</w:t>
      </w:r>
      <w:r>
        <w:rPr>
          <w:rFonts w:hint="eastAsia"/>
          <w:sz w:val="24"/>
        </w:rPr>
        <w:t>牛皮纸、中高强瓦楞原纸等包装用纸，格拉辛纸及装饰纸等特种制品。</w:t>
      </w:r>
      <w:r>
        <w:rPr>
          <w:sz w:val="24"/>
        </w:rPr>
        <w:t>系列</w:t>
      </w:r>
      <w:r>
        <w:rPr>
          <w:rFonts w:hint="eastAsia"/>
          <w:sz w:val="24"/>
        </w:rPr>
        <w:t>产品有：不干胶衬纸、各色半透明纸、黑色双面光纸、牛皮纸、条纹牛皮纸、铝箔衬纸、复合原纸、胶带原纸、拷贝纸、印花纸等工业用薄型纸</w:t>
      </w:r>
      <w:r>
        <w:rPr>
          <w:sz w:val="24"/>
        </w:rPr>
        <w:t>等。</w:t>
      </w:r>
      <w:bookmarkStart w:id="4" w:name="▲电力产品的延伸服务"/>
      <w:bookmarkEnd w:id="4"/>
    </w:p>
    <w:p w14:paraId="33065DBB">
      <w:pPr>
        <w:pStyle w:val="60"/>
        <w:spacing w:line="360" w:lineRule="auto"/>
        <w:ind w:firstLine="480" w:firstLineChars="200"/>
        <w:rPr>
          <w:rFonts w:ascii="宋体" w:eastAsia="宋体" w:cs="宋体"/>
        </w:rPr>
      </w:pPr>
      <w:r>
        <w:rPr>
          <w:rFonts w:hint="eastAsia" w:ascii="宋体" w:eastAsia="宋体" w:cs="宋体"/>
        </w:rPr>
        <w:t>公司主要经营产品见下表。</w:t>
      </w:r>
    </w:p>
    <w:tbl>
      <w:tblPr>
        <w:tblStyle w:val="37"/>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16"/>
        <w:gridCol w:w="6385"/>
      </w:tblGrid>
      <w:tr w14:paraId="68AE9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616" w:type="dxa"/>
            <w:shd w:val="clear" w:color="auto" w:fill="0070C0"/>
            <w:vAlign w:val="center"/>
          </w:tcPr>
          <w:p w14:paraId="16762FBD">
            <w:pPr>
              <w:spacing w:line="300" w:lineRule="auto"/>
              <w:jc w:val="center"/>
              <w:rPr>
                <w:b/>
                <w:color w:val="FFFFFF"/>
                <w:sz w:val="22"/>
              </w:rPr>
            </w:pPr>
            <w:r>
              <w:rPr>
                <w:b/>
                <w:color w:val="FFFFFF"/>
                <w:sz w:val="22"/>
              </w:rPr>
              <w:t>产品种类</w:t>
            </w:r>
          </w:p>
        </w:tc>
        <w:tc>
          <w:tcPr>
            <w:tcW w:w="6385" w:type="dxa"/>
            <w:shd w:val="clear" w:color="auto" w:fill="0070C0"/>
            <w:vAlign w:val="center"/>
          </w:tcPr>
          <w:p w14:paraId="7C50F5ED">
            <w:pPr>
              <w:spacing w:line="300" w:lineRule="auto"/>
              <w:jc w:val="center"/>
              <w:rPr>
                <w:b/>
                <w:color w:val="FFFFFF"/>
                <w:sz w:val="22"/>
              </w:rPr>
            </w:pPr>
            <w:r>
              <w:rPr>
                <w:b/>
                <w:color w:val="FFFFFF"/>
                <w:sz w:val="22"/>
              </w:rPr>
              <w:t>产品名称</w:t>
            </w:r>
          </w:p>
        </w:tc>
      </w:tr>
      <w:tr w14:paraId="0EEF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16" w:type="dxa"/>
            <w:vAlign w:val="center"/>
          </w:tcPr>
          <w:p w14:paraId="055C1320">
            <w:pPr>
              <w:jc w:val="center"/>
              <w:rPr>
                <w:color w:val="000000"/>
                <w:szCs w:val="21"/>
              </w:rPr>
            </w:pPr>
            <w:r>
              <w:rPr>
                <w:rFonts w:hint="eastAsia"/>
                <w:color w:val="000000"/>
                <w:szCs w:val="21"/>
              </w:rPr>
              <w:t>包装用纸</w:t>
            </w:r>
            <w:r>
              <w:rPr>
                <w:color w:val="000000"/>
                <w:szCs w:val="21"/>
              </w:rPr>
              <w:t>各系列纸制品</w:t>
            </w:r>
          </w:p>
        </w:tc>
        <w:tc>
          <w:tcPr>
            <w:tcW w:w="6385" w:type="dxa"/>
            <w:vAlign w:val="center"/>
          </w:tcPr>
          <w:p w14:paraId="3F051CA8">
            <w:pPr>
              <w:jc w:val="left"/>
              <w:rPr>
                <w:color w:val="000000"/>
                <w:szCs w:val="21"/>
              </w:rPr>
            </w:pPr>
            <w:r>
              <w:rPr>
                <w:rFonts w:hint="eastAsia"/>
                <w:color w:val="000000"/>
                <w:szCs w:val="21"/>
              </w:rPr>
              <w:t xml:space="preserve"> 牛皮纸、中高强瓦楞原纸等</w:t>
            </w:r>
          </w:p>
        </w:tc>
      </w:tr>
      <w:tr w14:paraId="49528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16" w:type="dxa"/>
            <w:vAlign w:val="center"/>
          </w:tcPr>
          <w:p w14:paraId="4DFCEE07">
            <w:pPr>
              <w:jc w:val="center"/>
              <w:rPr>
                <w:color w:val="000000"/>
                <w:szCs w:val="21"/>
              </w:rPr>
            </w:pPr>
            <w:r>
              <w:rPr>
                <w:rFonts w:hint="eastAsia"/>
                <w:color w:val="000000"/>
                <w:szCs w:val="21"/>
              </w:rPr>
              <w:t>特种制品</w:t>
            </w:r>
            <w:r>
              <w:rPr>
                <w:color w:val="000000"/>
                <w:szCs w:val="21"/>
              </w:rPr>
              <w:t>各系列纸制品</w:t>
            </w:r>
          </w:p>
        </w:tc>
        <w:tc>
          <w:tcPr>
            <w:tcW w:w="6385" w:type="dxa"/>
            <w:vAlign w:val="center"/>
          </w:tcPr>
          <w:p w14:paraId="6F5854DA">
            <w:pPr>
              <w:jc w:val="left"/>
              <w:rPr>
                <w:color w:val="000000"/>
                <w:szCs w:val="21"/>
              </w:rPr>
            </w:pPr>
            <w:r>
              <w:rPr>
                <w:rFonts w:hint="eastAsia"/>
                <w:color w:val="000000"/>
                <w:szCs w:val="21"/>
              </w:rPr>
              <w:t xml:space="preserve"> 格拉辛纸及装饰纸</w:t>
            </w:r>
          </w:p>
        </w:tc>
      </w:tr>
      <w:tr w14:paraId="49318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16" w:type="dxa"/>
            <w:vAlign w:val="center"/>
          </w:tcPr>
          <w:p w14:paraId="530D692E">
            <w:pPr>
              <w:jc w:val="center"/>
              <w:rPr>
                <w:rFonts w:hint="eastAsia"/>
                <w:color w:val="000000"/>
                <w:szCs w:val="21"/>
              </w:rPr>
            </w:pPr>
            <w:r>
              <w:rPr>
                <w:rFonts w:hint="eastAsia"/>
                <w:color w:val="000000"/>
                <w:szCs w:val="21"/>
              </w:rPr>
              <w:t>工业用薄型纸</w:t>
            </w:r>
          </w:p>
        </w:tc>
        <w:tc>
          <w:tcPr>
            <w:tcW w:w="6385" w:type="dxa"/>
            <w:vAlign w:val="center"/>
          </w:tcPr>
          <w:p w14:paraId="073600C2">
            <w:pPr>
              <w:jc w:val="left"/>
              <w:rPr>
                <w:color w:val="000000"/>
                <w:szCs w:val="21"/>
              </w:rPr>
            </w:pPr>
            <w:r>
              <w:rPr>
                <w:rFonts w:hint="eastAsia"/>
                <w:color w:val="000000"/>
                <w:szCs w:val="21"/>
              </w:rPr>
              <w:t>不干胶衬纸、各色半透明纸、黑色双面光纸、牛皮纸、条纹牛皮纸、铝箔衬纸、复合原纸、胶带原纸、拷贝纸、印花纸等</w:t>
            </w:r>
          </w:p>
        </w:tc>
      </w:tr>
    </w:tbl>
    <w:p w14:paraId="74E1D073">
      <w:pPr>
        <w:spacing w:beforeLines="50" w:afterLines="50" w:line="360" w:lineRule="auto"/>
        <w:outlineLvl w:val="0"/>
      </w:pPr>
      <w:r>
        <w:rPr>
          <w:rFonts w:hint="eastAsia" w:ascii="宋体" w:cs="Times New Roman"/>
          <w:b/>
          <w:color w:val="000000"/>
          <w:sz w:val="28"/>
          <w:szCs w:val="24"/>
        </w:rPr>
        <w:t>三、 社会责任</w:t>
      </w:r>
    </w:p>
    <w:p w14:paraId="34CD251E">
      <w:pPr>
        <w:spacing w:beforeLines="50" w:afterLines="50"/>
        <w:outlineLvl w:val="1"/>
        <w:rPr>
          <w:rFonts w:ascii="宋体" w:cs="宋体"/>
          <w:b/>
          <w:sz w:val="23"/>
          <w:szCs w:val="23"/>
        </w:rPr>
      </w:pPr>
      <w:r>
        <w:rPr>
          <w:rFonts w:hint="eastAsia" w:ascii="宋体" w:cs="宋体"/>
          <w:b/>
          <w:sz w:val="23"/>
          <w:szCs w:val="23"/>
        </w:rPr>
        <w:t>（一）公司治理</w:t>
      </w:r>
    </w:p>
    <w:p w14:paraId="1F3C337D">
      <w:pPr>
        <w:pStyle w:val="60"/>
        <w:spacing w:line="360" w:lineRule="auto"/>
        <w:ind w:firstLine="480" w:firstLineChars="200"/>
        <w:rPr>
          <w:rFonts w:ascii="宋体" w:eastAsia="宋体" w:cs="宋体"/>
        </w:rPr>
      </w:pPr>
      <w:r>
        <w:rPr>
          <w:rFonts w:hint="eastAsia" w:ascii="宋体" w:eastAsia="宋体" w:cs="宋体"/>
        </w:rPr>
        <w:t>公司不断完善组织治理机构，建立了科学的监控系统，定期评审高层领导的绩效，努力保证内外部审计独立性与有效性，有机协调了企业与各相关方的利益。</w:t>
      </w:r>
    </w:p>
    <w:p w14:paraId="3AE23BE6">
      <w:pPr>
        <w:pStyle w:val="60"/>
        <w:numPr>
          <w:ilvl w:val="0"/>
          <w:numId w:val="1"/>
        </w:numPr>
        <w:spacing w:line="360" w:lineRule="auto"/>
        <w:ind w:firstLine="0"/>
        <w:rPr>
          <w:rFonts w:ascii="宋体" w:eastAsia="宋体" w:cs="宋体"/>
        </w:rPr>
      </w:pPr>
      <w:r>
        <w:rPr>
          <w:rFonts w:hint="eastAsia" w:ascii="宋体" w:eastAsia="宋体" w:cs="宋体"/>
        </w:rPr>
        <w:t>组织行为的管理责任</w:t>
      </w:r>
    </w:p>
    <w:p w14:paraId="01712DA6">
      <w:pPr>
        <w:pStyle w:val="60"/>
        <w:spacing w:line="360" w:lineRule="auto"/>
        <w:rPr>
          <w:rFonts w:ascii="宋体" w:eastAsia="宋体" w:cs="宋体"/>
        </w:rPr>
      </w:pPr>
      <w:r>
        <w:rPr>
          <w:rFonts w:hint="eastAsia" w:ascii="宋体" w:eastAsia="宋体" w:cs="宋体"/>
        </w:rPr>
        <w:t>（</w:t>
      </w:r>
      <w:r>
        <w:rPr>
          <w:rFonts w:ascii="Calibri" w:hAnsi="Calibri" w:eastAsia="宋体" w:cs="Calibri"/>
        </w:rPr>
        <w:t>1</w:t>
      </w:r>
      <w:r>
        <w:rPr>
          <w:rFonts w:hint="eastAsia" w:ascii="宋体" w:eastAsia="宋体" w:cs="宋体"/>
        </w:rPr>
        <w:t>）明确经营责任、道德责任和法律责任</w:t>
      </w:r>
    </w:p>
    <w:p w14:paraId="48F25BDA">
      <w:pPr>
        <w:pStyle w:val="60"/>
        <w:spacing w:line="360" w:lineRule="auto"/>
        <w:ind w:firstLine="480" w:firstLineChars="200"/>
        <w:rPr>
          <w:rFonts w:ascii="宋体" w:eastAsia="宋体" w:cs="宋体"/>
        </w:rPr>
      </w:pPr>
      <w:r>
        <w:rPr>
          <w:rFonts w:hint="eastAsia" w:ascii="宋体" w:eastAsia="宋体" w:cs="宋体"/>
        </w:rPr>
        <w:t>公司根据《公司法》明确公司高级管理人员的责任、权利与义务，形成企业决策、执行和监督机构相互协调、相互制约的机制。公司定期对关键领导岗位进行监督、审计，促使高管人员肩负起忠实和勤勉义务，保证组织活动的合法性、规范性、有效性。</w:t>
      </w:r>
    </w:p>
    <w:p w14:paraId="5F8FAD51">
      <w:pPr>
        <w:pStyle w:val="60"/>
        <w:spacing w:line="360" w:lineRule="auto"/>
        <w:rPr>
          <w:rFonts w:ascii="宋体" w:eastAsia="宋体" w:cs="宋体"/>
        </w:rPr>
      </w:pPr>
      <w:r>
        <w:rPr>
          <w:rFonts w:hint="eastAsia" w:ascii="宋体" w:eastAsia="宋体" w:cs="宋体"/>
        </w:rPr>
        <w:t>（</w:t>
      </w:r>
      <w:r>
        <w:rPr>
          <w:rFonts w:ascii="Calibri" w:hAnsi="Calibri" w:eastAsia="宋体" w:cs="Calibri"/>
        </w:rPr>
        <w:t>2</w:t>
      </w:r>
      <w:r>
        <w:rPr>
          <w:rFonts w:hint="eastAsia" w:ascii="宋体" w:eastAsia="宋体" w:cs="宋体"/>
        </w:rPr>
        <w:t>）落实财务责任</w:t>
      </w:r>
    </w:p>
    <w:p w14:paraId="404E084C">
      <w:pPr>
        <w:pStyle w:val="60"/>
        <w:spacing w:line="360" w:lineRule="auto"/>
        <w:ind w:firstLine="480" w:firstLineChars="200"/>
        <w:rPr>
          <w:rFonts w:ascii="宋体" w:eastAsia="宋体" w:cs="宋体"/>
        </w:rPr>
      </w:pPr>
      <w:r>
        <w:rPr>
          <w:rFonts w:hint="eastAsia" w:ascii="宋体" w:eastAsia="宋体" w:cs="宋体"/>
        </w:rPr>
        <w:t>公司根据《会计法》等法律法规，对投资项目审批、结算管理、成本核算、费用报销、应收账款管理等做出明确规定，从而健全了财务制度。公司财务负责人由公司董事长任命，并得到董事会同意，保证财务的独立运作。财务向公司董事会负责，为公司经营提供相关财务服务与支持，从理财与管财角度履行责任。</w:t>
      </w:r>
    </w:p>
    <w:p w14:paraId="6FF82FD4">
      <w:pPr>
        <w:pStyle w:val="60"/>
        <w:spacing w:line="360" w:lineRule="auto"/>
        <w:rPr>
          <w:rFonts w:ascii="宋体" w:eastAsia="宋体" w:cs="宋体"/>
        </w:rPr>
      </w:pPr>
      <w:r>
        <w:rPr>
          <w:rFonts w:hint="eastAsia" w:ascii="宋体" w:eastAsia="宋体" w:cs="宋体"/>
        </w:rPr>
        <w:t>（</w:t>
      </w:r>
      <w:r>
        <w:rPr>
          <w:rFonts w:ascii="Calibri" w:hAnsi="Calibri" w:eastAsia="宋体" w:cs="Calibri"/>
        </w:rPr>
        <w:t>3</w:t>
      </w:r>
      <w:r>
        <w:rPr>
          <w:rFonts w:hint="eastAsia" w:ascii="宋体" w:eastAsia="宋体" w:cs="宋体"/>
        </w:rPr>
        <w:t>）确保经营管理透明及信息及时披露</w:t>
      </w:r>
    </w:p>
    <w:p w14:paraId="009695B4">
      <w:pPr>
        <w:pStyle w:val="60"/>
        <w:spacing w:line="360" w:lineRule="auto"/>
        <w:ind w:firstLine="480" w:firstLineChars="200"/>
        <w:rPr>
          <w:rFonts w:ascii="宋体" w:eastAsia="宋体" w:cs="宋体"/>
        </w:rPr>
      </w:pPr>
      <w:r>
        <w:rPr>
          <w:rFonts w:hint="eastAsia" w:ascii="宋体" w:eastAsia="宋体" w:cs="宋体"/>
        </w:rPr>
        <w:t>公司严格按照信息披露制度要求，定期将财务变化、公司经营状况等信息和资料向董事会报告，保证公司经营的透明化。</w:t>
      </w:r>
    </w:p>
    <w:p w14:paraId="112CCA84">
      <w:pPr>
        <w:pStyle w:val="60"/>
        <w:spacing w:line="360" w:lineRule="auto"/>
        <w:rPr>
          <w:rFonts w:ascii="宋体" w:eastAsia="宋体" w:cs="宋体"/>
        </w:rPr>
      </w:pPr>
      <w:r>
        <w:rPr>
          <w:rFonts w:hint="eastAsia" w:ascii="宋体" w:eastAsia="宋体" w:cs="宋体"/>
        </w:rPr>
        <w:t>（</w:t>
      </w:r>
      <w:r>
        <w:rPr>
          <w:rFonts w:ascii="Calibri" w:hAnsi="Calibri" w:eastAsia="宋体" w:cs="Calibri"/>
        </w:rPr>
        <w:t>4</w:t>
      </w:r>
      <w:r>
        <w:rPr>
          <w:rFonts w:hint="eastAsia" w:ascii="宋体" w:eastAsia="宋体" w:cs="宋体"/>
        </w:rPr>
        <w:t>）审计的独立性</w:t>
      </w:r>
    </w:p>
    <w:p w14:paraId="78962D3C">
      <w:pPr>
        <w:pStyle w:val="60"/>
        <w:spacing w:line="360" w:lineRule="auto"/>
        <w:ind w:firstLine="480" w:firstLineChars="200"/>
        <w:rPr>
          <w:rFonts w:ascii="宋体" w:eastAsia="宋体" w:cs="宋体"/>
        </w:rPr>
      </w:pPr>
      <w:r>
        <w:rPr>
          <w:rFonts w:hint="eastAsia" w:ascii="宋体" w:eastAsia="宋体" w:cs="宋体"/>
        </w:rPr>
        <w:t>公司每年定期委托第三方会</w:t>
      </w:r>
      <w:r>
        <w:rPr>
          <w:rFonts w:ascii="宋体" w:eastAsia="宋体" w:cs="宋体"/>
        </w:rPr>
        <w:t>计师事务所</w:t>
      </w:r>
      <w:r>
        <w:rPr>
          <w:rFonts w:hint="eastAsia" w:ascii="宋体" w:eastAsia="宋体" w:cs="宋体"/>
        </w:rPr>
        <w:t>进行财务审计，对经营过程进行严格监控，逐步建立了完善的内部监控体系，确保财务数据合法、准确、真实。</w:t>
      </w:r>
    </w:p>
    <w:p w14:paraId="71846D44">
      <w:pPr>
        <w:pStyle w:val="60"/>
        <w:spacing w:line="360" w:lineRule="auto"/>
        <w:rPr>
          <w:rFonts w:ascii="宋体" w:eastAsia="宋体" w:cs="宋体"/>
        </w:rPr>
      </w:pPr>
      <w:r>
        <w:rPr>
          <w:rFonts w:hint="eastAsia" w:ascii="宋体" w:eastAsia="宋体" w:cs="宋体"/>
        </w:rPr>
        <w:t>（</w:t>
      </w:r>
      <w:r>
        <w:rPr>
          <w:rFonts w:ascii="Calibri" w:hAnsi="Calibri" w:eastAsia="宋体" w:cs="Calibri"/>
        </w:rPr>
        <w:t>5</w:t>
      </w:r>
      <w:r>
        <w:rPr>
          <w:rFonts w:hint="eastAsia" w:ascii="宋体" w:eastAsia="宋体" w:cs="宋体"/>
        </w:rPr>
        <w:t>）相关方利益的保护</w:t>
      </w:r>
    </w:p>
    <w:p w14:paraId="0D2D0583">
      <w:pPr>
        <w:pStyle w:val="60"/>
        <w:spacing w:line="360" w:lineRule="auto"/>
        <w:ind w:firstLine="480" w:firstLineChars="200"/>
        <w:rPr>
          <w:rFonts w:ascii="宋体" w:eastAsia="宋体" w:cs="宋体"/>
        </w:rPr>
      </w:pPr>
      <w:r>
        <w:rPr>
          <w:rFonts w:hint="eastAsia" w:ascii="宋体" w:eastAsia="宋体" w:cs="宋体"/>
        </w:rPr>
        <w:t>公司一贯坚持诚信共赢的经营理念，着眼企业持续发展，依据《公司法》等法律法规，进行公司信用体系建设，积极维护各相关方利益。</w:t>
      </w:r>
    </w:p>
    <w:p w14:paraId="15633835">
      <w:pPr>
        <w:pStyle w:val="60"/>
        <w:spacing w:line="360" w:lineRule="auto"/>
        <w:ind w:firstLine="480" w:firstLineChars="200"/>
        <w:rPr>
          <w:rFonts w:ascii="宋体" w:eastAsia="宋体" w:cs="宋体"/>
        </w:rPr>
      </w:pPr>
      <w:r>
        <w:rPr>
          <w:rFonts w:hint="eastAsia" w:ascii="宋体" w:eastAsia="宋体" w:cs="宋体"/>
        </w:rPr>
        <w:t>1)董事会利益的保护：为有效保护董事会利益，定期对公司各高级管理人员职权行使、重大投资、财务收支和经济活动等组织行为进行监督、审计，保证公司活动的合法性、规范性、有效性。</w:t>
      </w:r>
    </w:p>
    <w:p w14:paraId="346A7AF4">
      <w:pPr>
        <w:pStyle w:val="60"/>
        <w:spacing w:line="360" w:lineRule="auto"/>
        <w:ind w:firstLine="480" w:firstLineChars="200"/>
        <w:rPr>
          <w:rFonts w:ascii="宋体" w:eastAsia="宋体" w:cs="宋体"/>
        </w:rPr>
      </w:pPr>
      <w:r>
        <w:rPr>
          <w:rFonts w:hint="eastAsia" w:ascii="宋体" w:eastAsia="宋体" w:cs="宋体"/>
        </w:rPr>
        <w:t>2)员工利益的保护：公司认真贯彻执行《劳动法》和《劳动法实施细则》等国家相关法律法规，依法与所有员工签订劳动合同，并将涉及员工利益的基本报酬、工作时间、休假、劳动安全、社会保险与福利、职业培训等内容进行具体规定，有效维护了员工的合法权益。另外，公司定期向工会和员工代表通报公司的经营情况和其他相关信息，保证公司的运营透明度，以及员工的参与权、知情权等各项民主权利。</w:t>
      </w:r>
    </w:p>
    <w:p w14:paraId="0E1296DD">
      <w:pPr>
        <w:pStyle w:val="60"/>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3)顾客及供应商利益的保护：公司以“以诚取信，以质取胜”为核心价值观，推动顾客满意度的不断提升；以产品创新和管理创新为保障，实现了体系支撑能力的逐步提升。多年来公开、公正地选择、评价供应商，切实开展效能、过程监督，对主要供应商积极提供信息数据和工作支持，与各供应商建立良好的合作伙伴关系，实现合作共赢。</w:t>
      </w:r>
    </w:p>
    <w:p w14:paraId="60DB6164">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4)其他相关利益的保护：公司依法纳税，积极投身社会公益事业，获得了政府、金融机构和广大社会大众的良好信誉和口碑。</w:t>
      </w:r>
    </w:p>
    <w:p w14:paraId="28D87835">
      <w:pPr>
        <w:autoSpaceDE w:val="0"/>
        <w:autoSpaceDN w:val="0"/>
        <w:adjustRightInd w:val="0"/>
        <w:spacing w:line="360" w:lineRule="auto"/>
        <w:jc w:val="left"/>
        <w:rPr>
          <w:rFonts w:ascii="宋体" w:cs="宋体"/>
          <w:color w:val="000000"/>
          <w:kern w:val="0"/>
          <w:sz w:val="24"/>
          <w:szCs w:val="24"/>
        </w:rPr>
      </w:pPr>
      <w:r>
        <w:rPr>
          <w:rFonts w:cs="Calibri"/>
          <w:color w:val="000000"/>
          <w:kern w:val="0"/>
          <w:sz w:val="24"/>
          <w:szCs w:val="24"/>
        </w:rPr>
        <w:t>2</w:t>
      </w:r>
      <w:r>
        <w:rPr>
          <w:rFonts w:hint="eastAsia" w:ascii="宋体" w:cs="宋体"/>
          <w:color w:val="000000"/>
          <w:kern w:val="0"/>
          <w:sz w:val="24"/>
          <w:szCs w:val="24"/>
        </w:rPr>
        <w:t>、对高层领导开展定期绩效评价，实现公司领导系统的持续改善</w:t>
      </w:r>
      <w:r>
        <w:rPr>
          <w:rFonts w:ascii="宋体" w:cs="宋体"/>
          <w:color w:val="000000"/>
          <w:kern w:val="0"/>
          <w:sz w:val="24"/>
          <w:szCs w:val="24"/>
        </w:rPr>
        <w:t xml:space="preserve"> </w:t>
      </w:r>
    </w:p>
    <w:p w14:paraId="1E4F5F00">
      <w:pPr>
        <w:autoSpaceDE w:val="0"/>
        <w:autoSpaceDN w:val="0"/>
        <w:adjustRightInd w:val="0"/>
        <w:spacing w:line="360" w:lineRule="auto"/>
        <w:jc w:val="left"/>
        <w:rPr>
          <w:rFonts w:ascii="宋体" w:cs="宋体"/>
          <w:color w:val="000000"/>
          <w:kern w:val="0"/>
          <w:sz w:val="24"/>
          <w:szCs w:val="24"/>
        </w:rPr>
      </w:pPr>
      <w:r>
        <w:rPr>
          <w:rFonts w:hint="eastAsia" w:ascii="宋体" w:cs="宋体"/>
          <w:color w:val="000000"/>
          <w:kern w:val="0"/>
          <w:sz w:val="24"/>
          <w:szCs w:val="24"/>
        </w:rPr>
        <w:t>（</w:t>
      </w:r>
      <w:r>
        <w:rPr>
          <w:rFonts w:ascii="宋体" w:cs="宋体"/>
          <w:color w:val="000000"/>
          <w:kern w:val="0"/>
          <w:sz w:val="24"/>
          <w:szCs w:val="24"/>
        </w:rPr>
        <w:t>1</w:t>
      </w:r>
      <w:r>
        <w:rPr>
          <w:rFonts w:hint="eastAsia" w:ascii="宋体" w:cs="宋体"/>
          <w:color w:val="000000"/>
          <w:kern w:val="0"/>
          <w:sz w:val="24"/>
          <w:szCs w:val="24"/>
        </w:rPr>
        <w:t>） 对高层领导绩效的评价体系</w:t>
      </w:r>
      <w:r>
        <w:rPr>
          <w:rFonts w:ascii="宋体" w:cs="宋体"/>
          <w:color w:val="000000"/>
          <w:kern w:val="0"/>
          <w:sz w:val="24"/>
          <w:szCs w:val="24"/>
        </w:rPr>
        <w:t xml:space="preserve"> </w:t>
      </w:r>
    </w:p>
    <w:p w14:paraId="27BEF276">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董事会每年依据下达的经营计划和KPI考核表，对公司高层领导总经理进行绩效考核和评价，评价方式主要采取高层领导述职和评价。评价维度包括战略目标完成情况、经营绩效、公司管理提升和团队培养等。绩效评价的结果决定高层领导的薪酬奖金、职务升迁。副总经理以下的中层领导由公司高层依据年度</w:t>
      </w:r>
      <w:r>
        <w:rPr>
          <w:rFonts w:ascii="宋体" w:cs="宋体"/>
          <w:color w:val="000000"/>
          <w:kern w:val="0"/>
          <w:sz w:val="24"/>
          <w:szCs w:val="24"/>
        </w:rPr>
        <w:t>KPI</w:t>
      </w:r>
      <w:r>
        <w:rPr>
          <w:rFonts w:hint="eastAsia" w:ascii="宋体" w:cs="宋体"/>
          <w:color w:val="000000"/>
          <w:kern w:val="0"/>
          <w:sz w:val="24"/>
          <w:szCs w:val="24"/>
        </w:rPr>
        <w:t>指标进行评价考核。</w:t>
      </w:r>
    </w:p>
    <w:p w14:paraId="3198A1E3">
      <w:pPr>
        <w:autoSpaceDE w:val="0"/>
        <w:autoSpaceDN w:val="0"/>
        <w:adjustRightInd w:val="0"/>
        <w:spacing w:line="360" w:lineRule="auto"/>
        <w:jc w:val="left"/>
        <w:rPr>
          <w:rFonts w:ascii="宋体" w:cs="宋体"/>
          <w:color w:val="000000"/>
          <w:kern w:val="0"/>
          <w:sz w:val="24"/>
          <w:szCs w:val="24"/>
        </w:rPr>
      </w:pPr>
      <w:r>
        <w:rPr>
          <w:rFonts w:ascii="宋体" w:cs="宋体"/>
          <w:color w:val="000000"/>
          <w:kern w:val="0"/>
          <w:sz w:val="24"/>
          <w:szCs w:val="24"/>
        </w:rPr>
        <w:t xml:space="preserve"> </w:t>
      </w:r>
      <w:r>
        <w:rPr>
          <w:rFonts w:hint="eastAsia" w:ascii="宋体" w:cs="宋体"/>
          <w:color w:val="000000"/>
          <w:kern w:val="0"/>
          <w:sz w:val="24"/>
          <w:szCs w:val="24"/>
        </w:rPr>
        <w:t>（</w:t>
      </w:r>
      <w:r>
        <w:rPr>
          <w:rFonts w:ascii="宋体" w:cs="宋体"/>
          <w:color w:val="000000"/>
          <w:kern w:val="0"/>
          <w:sz w:val="24"/>
          <w:szCs w:val="24"/>
        </w:rPr>
        <w:t>2</w:t>
      </w:r>
      <w:r>
        <w:rPr>
          <w:rFonts w:hint="eastAsia" w:ascii="宋体" w:cs="宋体"/>
          <w:color w:val="000000"/>
          <w:kern w:val="0"/>
          <w:sz w:val="24"/>
          <w:szCs w:val="24"/>
        </w:rPr>
        <w:t>） 运用绩效评价结果改进领导系统效率</w:t>
      </w:r>
      <w:r>
        <w:rPr>
          <w:rFonts w:ascii="宋体" w:cs="宋体"/>
          <w:color w:val="000000"/>
          <w:kern w:val="0"/>
          <w:sz w:val="24"/>
          <w:szCs w:val="24"/>
        </w:rPr>
        <w:t xml:space="preserve"> </w:t>
      </w:r>
    </w:p>
    <w:p w14:paraId="4B07E1F1">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根据绩效评价的结果，公司高层展开原因分析，设定改进行动计划。对于高层领导和领导班子存在的不足，公司会根据知识结构不完善，团队执行力缺乏、工作激情不足等不同原因分类，通过加强培训、调整领导团队等方法加以改进，以保证领导系统的有效性。</w:t>
      </w:r>
      <w:r>
        <w:rPr>
          <w:rFonts w:ascii="宋体" w:cs="宋体"/>
          <w:color w:val="000000"/>
          <w:kern w:val="0"/>
          <w:sz w:val="24"/>
          <w:szCs w:val="24"/>
        </w:rPr>
        <w:t xml:space="preserve"> </w:t>
      </w:r>
    </w:p>
    <w:p w14:paraId="32B51823">
      <w:pPr>
        <w:autoSpaceDE w:val="0"/>
        <w:autoSpaceDN w:val="0"/>
        <w:adjustRightInd w:val="0"/>
        <w:spacing w:line="360" w:lineRule="auto"/>
        <w:jc w:val="left"/>
        <w:rPr>
          <w:rFonts w:cs="Calibri"/>
          <w:color w:val="000000"/>
          <w:kern w:val="0"/>
          <w:sz w:val="24"/>
          <w:szCs w:val="24"/>
        </w:rPr>
      </w:pPr>
      <w:r>
        <w:rPr>
          <w:rFonts w:hint="eastAsia" w:cs="Calibri"/>
          <w:color w:val="000000"/>
          <w:kern w:val="0"/>
          <w:sz w:val="24"/>
          <w:szCs w:val="24"/>
        </w:rPr>
        <w:t>3、 审计体系</w:t>
      </w:r>
    </w:p>
    <w:p w14:paraId="0CB1415E">
      <w:pPr>
        <w:autoSpaceDE w:val="0"/>
        <w:autoSpaceDN w:val="0"/>
        <w:adjustRightInd w:val="0"/>
        <w:spacing w:line="360" w:lineRule="auto"/>
        <w:jc w:val="left"/>
        <w:rPr>
          <w:rFonts w:ascii="宋体" w:cs="宋体"/>
          <w:color w:val="000000"/>
          <w:kern w:val="0"/>
          <w:sz w:val="24"/>
          <w:szCs w:val="24"/>
        </w:rPr>
      </w:pPr>
      <w:r>
        <w:rPr>
          <w:rFonts w:cs="Calibri"/>
          <w:color w:val="000000"/>
          <w:kern w:val="0"/>
          <w:sz w:val="24"/>
          <w:szCs w:val="24"/>
        </w:rPr>
        <w:t>（1</w:t>
      </w:r>
      <w:r>
        <w:rPr>
          <w:rFonts w:hint="eastAsia" w:ascii="宋体" w:cs="宋体"/>
          <w:color w:val="000000"/>
          <w:kern w:val="0"/>
          <w:sz w:val="24"/>
          <w:szCs w:val="24"/>
        </w:rPr>
        <w:t>） 公司内审机制；</w:t>
      </w:r>
    </w:p>
    <w:p w14:paraId="30E551A7">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董事会定期组织实施内部监督，对公司经营管理进行系统化、规范化的审计；并不定期的对资金、采购、费用、合同等经营管理事项进行专项审计，审计负责人直接向公司董事会负责，确保了审计人员的独立性和审计结果的客观性，对发现问题下达整改建议，并跟踪检查。通过内审制度的有效执行，公司管理日趋规范，各类经营风险得到有效控制。</w:t>
      </w:r>
    </w:p>
    <w:p w14:paraId="29CCE319">
      <w:pPr>
        <w:autoSpaceDE w:val="0"/>
        <w:autoSpaceDN w:val="0"/>
        <w:adjustRightInd w:val="0"/>
        <w:spacing w:line="360" w:lineRule="auto"/>
        <w:jc w:val="left"/>
        <w:rPr>
          <w:rFonts w:ascii="宋体" w:cs="宋体"/>
          <w:color w:val="000000"/>
          <w:kern w:val="0"/>
          <w:sz w:val="24"/>
          <w:szCs w:val="24"/>
        </w:rPr>
      </w:pPr>
      <w:r>
        <w:rPr>
          <w:rFonts w:cs="Calibri"/>
          <w:color w:val="000000"/>
          <w:kern w:val="0"/>
          <w:sz w:val="24"/>
          <w:szCs w:val="24"/>
        </w:rPr>
        <w:t>（2）</w:t>
      </w:r>
      <w:r>
        <w:rPr>
          <w:rFonts w:hint="eastAsia" w:ascii="宋体" w:cs="宋体"/>
          <w:color w:val="000000"/>
          <w:kern w:val="0"/>
          <w:sz w:val="24"/>
          <w:szCs w:val="24"/>
        </w:rPr>
        <w:t>独立外部审计机构年度审计</w:t>
      </w:r>
    </w:p>
    <w:p w14:paraId="101F81DF">
      <w:pPr>
        <w:autoSpaceDE w:val="0"/>
        <w:autoSpaceDN w:val="0"/>
        <w:adjustRightInd w:val="0"/>
        <w:spacing w:line="360" w:lineRule="auto"/>
        <w:ind w:firstLine="480" w:firstLineChars="200"/>
        <w:jc w:val="left"/>
        <w:rPr>
          <w:rFonts w:ascii="宋体" w:cs="Times New Roman"/>
          <w:b/>
          <w:sz w:val="24"/>
          <w:szCs w:val="24"/>
        </w:rPr>
      </w:pPr>
      <w:r>
        <w:rPr>
          <w:rFonts w:hint="eastAsia" w:ascii="宋体" w:cs="宋体"/>
          <w:color w:val="000000"/>
          <w:kern w:val="0"/>
          <w:sz w:val="24"/>
          <w:szCs w:val="24"/>
        </w:rPr>
        <w:t>公司</w:t>
      </w:r>
      <w:r>
        <w:rPr>
          <w:rFonts w:hint="eastAsia" w:ascii="宋体" w:cs="宋体"/>
          <w:sz w:val="24"/>
          <w:szCs w:val="24"/>
        </w:rPr>
        <w:t>委托第三方</w:t>
      </w:r>
      <w:r>
        <w:rPr>
          <w:rFonts w:ascii="宋体" w:cs="宋体"/>
          <w:sz w:val="24"/>
          <w:szCs w:val="24"/>
        </w:rPr>
        <w:t>会计师事务所</w:t>
      </w:r>
      <w:r>
        <w:rPr>
          <w:rFonts w:hint="eastAsia" w:ascii="宋体" w:cs="宋体"/>
          <w:sz w:val="24"/>
          <w:szCs w:val="24"/>
        </w:rPr>
        <w:t>对本公司进行财务审计。</w:t>
      </w:r>
      <w:r>
        <w:rPr>
          <w:rFonts w:hint="eastAsia" w:ascii="宋体" w:cs="宋体"/>
          <w:color w:val="000000"/>
          <w:kern w:val="0"/>
          <w:sz w:val="24"/>
          <w:szCs w:val="24"/>
        </w:rPr>
        <w:t>财务审计机构都具备相应资质，具有相关专业的履职能力，与公司无关联利益，公司对审计机构提出的审计意见酌情采纳，近年来审计结果显示，公司财务管理符合相关方要求。</w:t>
      </w:r>
    </w:p>
    <w:bookmarkEnd w:id="0"/>
    <w:bookmarkEnd w:id="1"/>
    <w:p w14:paraId="6DE241C3">
      <w:pPr>
        <w:spacing w:beforeLines="50" w:afterLines="50"/>
        <w:outlineLvl w:val="1"/>
        <w:rPr>
          <w:rFonts w:ascii="宋体" w:cs="宋体"/>
          <w:b/>
          <w:sz w:val="23"/>
          <w:szCs w:val="23"/>
        </w:rPr>
      </w:pPr>
      <w:bookmarkStart w:id="5" w:name="_Toc451610892"/>
      <w:bookmarkStart w:id="6" w:name="_Toc451610985"/>
      <w:r>
        <w:rPr>
          <w:rFonts w:hint="eastAsia" w:ascii="宋体" w:cs="宋体"/>
          <w:b/>
          <w:sz w:val="23"/>
          <w:szCs w:val="23"/>
        </w:rPr>
        <w:t>（二）人权和职工保护</w:t>
      </w:r>
    </w:p>
    <w:p w14:paraId="1F3D8683">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w:t>
      </w:r>
      <w:r>
        <w:rPr>
          <w:rFonts w:ascii="宋体" w:cs="宋体"/>
          <w:color w:val="000000"/>
          <w:kern w:val="0"/>
          <w:sz w:val="24"/>
          <w:szCs w:val="24"/>
        </w:rPr>
        <w:t>自成立以来严格遵守《中华人民共和国劳动法》、《中华人民共和国劳动合同法》等劳动和社会保障</w:t>
      </w:r>
      <w:r>
        <w:rPr>
          <w:rFonts w:hint="eastAsia" w:ascii="宋体" w:cs="宋体"/>
          <w:color w:val="000000"/>
          <w:kern w:val="0"/>
          <w:sz w:val="24"/>
          <w:szCs w:val="24"/>
        </w:rPr>
        <w:t>方面</w:t>
      </w:r>
      <w:r>
        <w:rPr>
          <w:rFonts w:ascii="宋体" w:cs="宋体"/>
          <w:color w:val="000000"/>
          <w:kern w:val="0"/>
          <w:sz w:val="24"/>
          <w:szCs w:val="24"/>
        </w:rPr>
        <w:t>的法律、法规和规章</w:t>
      </w:r>
      <w:r>
        <w:rPr>
          <w:rFonts w:hint="eastAsia" w:ascii="宋体" w:cs="宋体"/>
          <w:color w:val="000000"/>
          <w:kern w:val="0"/>
          <w:sz w:val="24"/>
          <w:szCs w:val="24"/>
        </w:rPr>
        <w:t>。</w:t>
      </w:r>
      <w:r>
        <w:rPr>
          <w:rFonts w:ascii="宋体" w:cs="宋体"/>
          <w:color w:val="000000"/>
          <w:kern w:val="0"/>
          <w:sz w:val="24"/>
          <w:szCs w:val="24"/>
        </w:rPr>
        <w:t>实行劳动合同制，与</w:t>
      </w:r>
      <w:r>
        <w:rPr>
          <w:rFonts w:hint="eastAsia" w:ascii="宋体" w:cs="宋体"/>
          <w:color w:val="000000"/>
          <w:kern w:val="0"/>
          <w:sz w:val="24"/>
          <w:szCs w:val="24"/>
        </w:rPr>
        <w:t>所有员工</w:t>
      </w:r>
      <w:r>
        <w:rPr>
          <w:rFonts w:ascii="宋体" w:cs="宋体"/>
          <w:color w:val="000000"/>
          <w:kern w:val="0"/>
          <w:sz w:val="24"/>
          <w:szCs w:val="24"/>
        </w:rPr>
        <w:t>按照《劳动合同法》的有关规定签订了《劳动合同》，并为员工提供了社会保障计划。目前，公司已根据国家及地方的有关规定，为员工缴纳了养老保险金、工伤保险金、医疗保险金、失业保</w:t>
      </w:r>
      <w:r>
        <w:rPr>
          <w:rFonts w:hint="eastAsia" w:ascii="宋体" w:cs="宋体"/>
          <w:color w:val="000000"/>
          <w:kern w:val="0"/>
          <w:sz w:val="24"/>
          <w:szCs w:val="24"/>
        </w:rPr>
        <w:t>险</w:t>
      </w:r>
      <w:r>
        <w:rPr>
          <w:rFonts w:ascii="宋体" w:cs="宋体"/>
          <w:color w:val="000000"/>
          <w:kern w:val="0"/>
          <w:sz w:val="24"/>
          <w:szCs w:val="24"/>
        </w:rPr>
        <w:t>金、生育保险金和住房公积金。</w:t>
      </w:r>
      <w:r>
        <w:rPr>
          <w:rFonts w:hint="eastAsia" w:ascii="宋体" w:cs="宋体"/>
          <w:color w:val="000000"/>
          <w:kern w:val="0"/>
          <w:sz w:val="24"/>
          <w:szCs w:val="24"/>
        </w:rPr>
        <w:t>员工可享受法定休假、婚假、丧假、产假等带薪假期。公司</w:t>
      </w:r>
      <w:r>
        <w:rPr>
          <w:rFonts w:ascii="宋体" w:cs="宋体"/>
          <w:color w:val="000000"/>
          <w:kern w:val="0"/>
          <w:sz w:val="24"/>
          <w:szCs w:val="24"/>
        </w:rPr>
        <w:t>社会保险覆盖面为</w:t>
      </w:r>
      <w:r>
        <w:rPr>
          <w:rFonts w:hint="eastAsia" w:ascii="宋体" w:cs="宋体"/>
          <w:color w:val="000000"/>
          <w:kern w:val="0"/>
          <w:sz w:val="24"/>
          <w:szCs w:val="24"/>
        </w:rPr>
        <w:t>100</w:t>
      </w:r>
      <w:r>
        <w:rPr>
          <w:rFonts w:ascii="宋体" w:cs="宋体"/>
          <w:color w:val="000000"/>
          <w:kern w:val="0"/>
          <w:sz w:val="24"/>
          <w:szCs w:val="24"/>
        </w:rPr>
        <w:t>%，劳动合同</w:t>
      </w:r>
      <w:r>
        <w:rPr>
          <w:rFonts w:hint="eastAsia" w:ascii="宋体" w:cs="宋体"/>
          <w:color w:val="000000"/>
          <w:kern w:val="0"/>
          <w:sz w:val="24"/>
          <w:szCs w:val="24"/>
        </w:rPr>
        <w:t>签订</w:t>
      </w:r>
      <w:r>
        <w:rPr>
          <w:rFonts w:ascii="宋体" w:cs="宋体"/>
          <w:color w:val="000000"/>
          <w:kern w:val="0"/>
          <w:sz w:val="24"/>
          <w:szCs w:val="24"/>
        </w:rPr>
        <w:t>率为</w:t>
      </w:r>
      <w:r>
        <w:rPr>
          <w:rFonts w:hint="eastAsia" w:ascii="宋体" w:cs="宋体"/>
          <w:color w:val="000000"/>
          <w:kern w:val="0"/>
          <w:sz w:val="24"/>
          <w:szCs w:val="24"/>
        </w:rPr>
        <w:t>100</w:t>
      </w:r>
      <w:r>
        <w:rPr>
          <w:rFonts w:ascii="宋体" w:cs="宋体"/>
          <w:color w:val="000000"/>
          <w:kern w:val="0"/>
          <w:sz w:val="24"/>
          <w:szCs w:val="24"/>
        </w:rPr>
        <w:t>%。</w:t>
      </w:r>
    </w:p>
    <w:p w14:paraId="5B1C8B63">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w:t>
      </w:r>
      <w:r>
        <w:rPr>
          <w:rFonts w:ascii="宋体" w:cs="宋体"/>
          <w:color w:val="000000"/>
          <w:kern w:val="0"/>
          <w:sz w:val="24"/>
          <w:szCs w:val="24"/>
        </w:rPr>
        <w:t>不断完善员工反映问题和</w:t>
      </w:r>
      <w:r>
        <w:rPr>
          <w:rFonts w:hint="eastAsia" w:ascii="宋体" w:cs="宋体"/>
          <w:color w:val="000000"/>
          <w:kern w:val="0"/>
          <w:sz w:val="24"/>
          <w:szCs w:val="24"/>
        </w:rPr>
        <w:t>诉求</w:t>
      </w:r>
      <w:r>
        <w:rPr>
          <w:rFonts w:ascii="宋体" w:cs="宋体"/>
          <w:color w:val="000000"/>
          <w:kern w:val="0"/>
          <w:sz w:val="24"/>
          <w:szCs w:val="24"/>
        </w:rPr>
        <w:t>的渠道及处理机制</w:t>
      </w:r>
      <w:r>
        <w:rPr>
          <w:rFonts w:hint="eastAsia" w:ascii="宋体" w:cs="宋体"/>
          <w:color w:val="000000"/>
          <w:kern w:val="0"/>
          <w:sz w:val="24"/>
          <w:szCs w:val="24"/>
        </w:rPr>
        <w:t>。员工可</w:t>
      </w:r>
      <w:r>
        <w:rPr>
          <w:rFonts w:ascii="宋体" w:cs="宋体"/>
          <w:color w:val="000000"/>
          <w:kern w:val="0"/>
          <w:sz w:val="24"/>
          <w:szCs w:val="24"/>
        </w:rPr>
        <w:t>通过电话、微信</w:t>
      </w:r>
      <w:r>
        <w:rPr>
          <w:rFonts w:hint="eastAsia" w:ascii="宋体" w:cs="宋体"/>
          <w:color w:val="000000"/>
          <w:kern w:val="0"/>
          <w:sz w:val="24"/>
          <w:szCs w:val="24"/>
        </w:rPr>
        <w:t>等</w:t>
      </w:r>
      <w:r>
        <w:rPr>
          <w:rFonts w:ascii="宋体" w:cs="宋体"/>
          <w:color w:val="000000"/>
          <w:kern w:val="0"/>
          <w:sz w:val="24"/>
          <w:szCs w:val="24"/>
        </w:rPr>
        <w:t>渠道，反映</w:t>
      </w:r>
      <w:r>
        <w:rPr>
          <w:rFonts w:hint="eastAsia" w:ascii="宋体" w:cs="宋体"/>
          <w:color w:val="000000"/>
          <w:kern w:val="0"/>
          <w:sz w:val="24"/>
          <w:szCs w:val="24"/>
        </w:rPr>
        <w:t>他们</w:t>
      </w:r>
      <w:r>
        <w:rPr>
          <w:rFonts w:ascii="宋体" w:cs="宋体"/>
          <w:color w:val="000000"/>
          <w:kern w:val="0"/>
          <w:sz w:val="24"/>
          <w:szCs w:val="24"/>
        </w:rPr>
        <w:t>遇到或可能发生的问题。公司</w:t>
      </w:r>
      <w:r>
        <w:rPr>
          <w:rFonts w:hint="eastAsia" w:ascii="宋体" w:cs="宋体"/>
          <w:color w:val="000000"/>
          <w:kern w:val="0"/>
          <w:sz w:val="24"/>
          <w:szCs w:val="24"/>
        </w:rPr>
        <w:t>高度</w:t>
      </w:r>
      <w:r>
        <w:rPr>
          <w:rFonts w:ascii="宋体" w:cs="宋体"/>
          <w:color w:val="000000"/>
          <w:kern w:val="0"/>
          <w:sz w:val="24"/>
          <w:szCs w:val="24"/>
        </w:rPr>
        <w:t>重视员工申述</w:t>
      </w:r>
      <w:r>
        <w:rPr>
          <w:rFonts w:hint="eastAsia" w:ascii="宋体" w:cs="宋体"/>
          <w:color w:val="000000"/>
          <w:kern w:val="0"/>
          <w:sz w:val="24"/>
          <w:szCs w:val="24"/>
        </w:rPr>
        <w:t>事件</w:t>
      </w:r>
      <w:r>
        <w:rPr>
          <w:rFonts w:ascii="宋体" w:cs="宋体"/>
          <w:color w:val="000000"/>
          <w:kern w:val="0"/>
          <w:sz w:val="24"/>
          <w:szCs w:val="24"/>
        </w:rPr>
        <w:t>，保证处理程序正当、依据明确</w:t>
      </w:r>
      <w:r>
        <w:rPr>
          <w:rFonts w:hint="eastAsia" w:ascii="宋体" w:cs="宋体"/>
          <w:color w:val="000000"/>
          <w:kern w:val="0"/>
          <w:sz w:val="24"/>
          <w:szCs w:val="24"/>
        </w:rPr>
        <w:t>、</w:t>
      </w:r>
      <w:r>
        <w:rPr>
          <w:rFonts w:ascii="宋体" w:cs="宋体"/>
          <w:color w:val="000000"/>
          <w:kern w:val="0"/>
          <w:sz w:val="24"/>
          <w:szCs w:val="24"/>
        </w:rPr>
        <w:t>结果恰当，保障了员工的合法权益。</w:t>
      </w:r>
      <w:r>
        <w:rPr>
          <w:rFonts w:hint="eastAsia" w:ascii="宋体" w:cs="宋体"/>
          <w:color w:val="000000"/>
          <w:kern w:val="0"/>
          <w:sz w:val="24"/>
          <w:szCs w:val="24"/>
        </w:rPr>
        <w:t xml:space="preserve"> </w:t>
      </w:r>
    </w:p>
    <w:p w14:paraId="6F963E6A">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公司通过各种方式，如</w:t>
      </w:r>
      <w:r>
        <w:rPr>
          <w:rFonts w:hint="eastAsia" w:ascii="宋体" w:cs="宋体"/>
          <w:color w:val="000000"/>
          <w:kern w:val="0"/>
          <w:sz w:val="24"/>
          <w:szCs w:val="24"/>
        </w:rPr>
        <w:t>节庆</w:t>
      </w:r>
      <w:r>
        <w:rPr>
          <w:rFonts w:ascii="宋体" w:cs="宋体"/>
          <w:color w:val="000000"/>
          <w:kern w:val="0"/>
          <w:sz w:val="24"/>
          <w:szCs w:val="24"/>
        </w:rPr>
        <w:t>文体活动等，丰富员工的工作和业余生活，构造和谐工作环境，激发员工爱心、积极性和创造性，促进公司和谐发展。</w:t>
      </w:r>
    </w:p>
    <w:p w14:paraId="7B7DB10C">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公司高层领导通过短信/微信平台、合理化建议、员工满意度调查、员工座谈会、下基层参加部门例会等形式，调查、了解员工意见和建议，获取员工满意度信息。</w:t>
      </w:r>
      <w:r>
        <w:rPr>
          <w:rFonts w:hint="eastAsia" w:ascii="宋体" w:hAnsi="宋体" w:cs="宋体"/>
          <w:color w:val="000000"/>
          <w:kern w:val="0"/>
          <w:sz w:val="24"/>
          <w:szCs w:val="24"/>
        </w:rPr>
        <w:t>相关投诉和建议</w:t>
      </w:r>
      <w:r>
        <w:rPr>
          <w:rFonts w:ascii="宋体" w:hAnsi="宋体" w:cs="宋体"/>
          <w:color w:val="000000"/>
          <w:kern w:val="0"/>
          <w:sz w:val="24"/>
          <w:szCs w:val="24"/>
        </w:rPr>
        <w:t>问题由</w:t>
      </w:r>
      <w:r>
        <w:rPr>
          <w:rFonts w:hint="eastAsia" w:ascii="宋体" w:hAnsi="宋体" w:cs="宋体"/>
          <w:color w:val="000000"/>
          <w:kern w:val="0"/>
          <w:sz w:val="24"/>
          <w:szCs w:val="24"/>
        </w:rPr>
        <w:t>人力资源</w:t>
      </w:r>
      <w:r>
        <w:rPr>
          <w:rFonts w:ascii="宋体" w:hAnsi="宋体" w:cs="宋体"/>
          <w:color w:val="000000"/>
          <w:kern w:val="0"/>
          <w:sz w:val="24"/>
          <w:szCs w:val="24"/>
        </w:rPr>
        <w:t>部负责跟踪督办，要求各相关职能部门在规定时间内进行处理。高层领导注重现场了解情况并在承诺时间内及时做出积极的反馈和处理。</w:t>
      </w:r>
    </w:p>
    <w:p w14:paraId="6A462B53">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公司已建立职业健康安全管理体系相关的手册和程序文件，在对危险源识别、评价和控制策划，职业健康安全管理目标策划，事件调查和处理，职业健康安全绩效评价等方面，充分保障了员工参与和协商的权利。</w:t>
      </w:r>
    </w:p>
    <w:p w14:paraId="154B9994">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公司定期组织实施工作场所职业危害因素检测和职业病定期检测。公司全面实施了三级安全教育，定期实施环境和安全应急响应演练，设立了职业健康安全文化宣传栏，培育公司职业健康安全管理文化。</w:t>
      </w:r>
    </w:p>
    <w:p w14:paraId="3E27AB32">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公司自成立以来没有发生职业病伤害情况和严重安全生产事故。</w:t>
      </w:r>
    </w:p>
    <w:p w14:paraId="33C4FE7A">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公司根据岗位所要求的知识、经验、技能等情况，向员工提供同行业具有竞争力的薪酬福利。公司薪酬福利政策遵循</w:t>
      </w:r>
      <w:r>
        <w:rPr>
          <w:rFonts w:ascii="宋体" w:hAnsi="宋体" w:cs="宋体"/>
          <w:color w:val="000000"/>
          <w:kern w:val="0"/>
          <w:sz w:val="24"/>
          <w:szCs w:val="24"/>
        </w:rPr>
        <w:t>“</w:t>
      </w:r>
      <w:r>
        <w:rPr>
          <w:rFonts w:hint="eastAsia" w:ascii="宋体" w:hAnsi="宋体" w:cs="宋体"/>
          <w:color w:val="000000"/>
          <w:kern w:val="0"/>
          <w:sz w:val="24"/>
          <w:szCs w:val="24"/>
        </w:rPr>
        <w:t>内部公平性、外部竞争性</w:t>
      </w:r>
      <w:r>
        <w:rPr>
          <w:rFonts w:ascii="宋体" w:hAnsi="宋体" w:cs="宋体"/>
          <w:color w:val="000000"/>
          <w:kern w:val="0"/>
          <w:sz w:val="24"/>
          <w:szCs w:val="24"/>
        </w:rPr>
        <w:t>”</w:t>
      </w:r>
      <w:r>
        <w:rPr>
          <w:rFonts w:hint="eastAsia" w:ascii="宋体" w:hAnsi="宋体" w:cs="宋体"/>
          <w:color w:val="000000"/>
          <w:kern w:val="0"/>
          <w:sz w:val="24"/>
          <w:szCs w:val="24"/>
        </w:rPr>
        <w:t>原则。</w:t>
      </w:r>
    </w:p>
    <w:p w14:paraId="6570B9C7">
      <w:pPr>
        <w:autoSpaceDE w:val="0"/>
        <w:autoSpaceDN w:val="0"/>
        <w:adjustRightInd w:val="0"/>
        <w:spacing w:line="360" w:lineRule="auto"/>
        <w:ind w:firstLine="480" w:firstLineChars="200"/>
        <w:jc w:val="lef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w:t>
      </w:r>
      <w:r>
        <w:rPr>
          <w:rFonts w:ascii="宋体" w:hAnsi="宋体" w:cs="宋体"/>
          <w:color w:val="000000"/>
          <w:kern w:val="0"/>
          <w:sz w:val="24"/>
          <w:szCs w:val="24"/>
        </w:rPr>
        <w:t xml:space="preserve"> </w:t>
      </w:r>
      <w:r>
        <w:rPr>
          <w:rFonts w:hint="eastAsia" w:ascii="宋体" w:hAnsi="宋体" w:cs="宋体"/>
          <w:color w:val="000000"/>
          <w:kern w:val="0"/>
          <w:sz w:val="24"/>
          <w:szCs w:val="24"/>
        </w:rPr>
        <w:t>基本工资：根据员工岗位的贡献度、对组织的影响力、对知识要求以及工作环境危险性、市场水平等因素来综合确定，体现对员工基本价值、工作表现及贡献的认同。</w:t>
      </w:r>
    </w:p>
    <w:p w14:paraId="0398F34C">
      <w:pPr>
        <w:autoSpaceDE w:val="0"/>
        <w:autoSpaceDN w:val="0"/>
        <w:adjustRightInd w:val="0"/>
        <w:spacing w:line="360" w:lineRule="auto"/>
        <w:ind w:firstLine="480" w:firstLineChars="200"/>
        <w:jc w:val="lef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w:t>
      </w:r>
      <w:r>
        <w:rPr>
          <w:rFonts w:ascii="宋体" w:hAnsi="宋体" w:cs="宋体"/>
          <w:color w:val="000000"/>
          <w:kern w:val="0"/>
          <w:sz w:val="24"/>
          <w:szCs w:val="24"/>
        </w:rPr>
        <w:t xml:space="preserve"> </w:t>
      </w:r>
      <w:r>
        <w:rPr>
          <w:rFonts w:hint="eastAsia" w:ascii="宋体" w:hAnsi="宋体" w:cs="宋体"/>
          <w:color w:val="000000"/>
          <w:kern w:val="0"/>
          <w:sz w:val="24"/>
          <w:szCs w:val="24"/>
        </w:rPr>
        <w:t>奖金：创造高绩效文化，将绩效和奖金相结合，有效保留和激励员工。奖金是对高绩效员工的额外奖励，根据个人和组织业绩综合评定。</w:t>
      </w:r>
    </w:p>
    <w:p w14:paraId="320EE7A6">
      <w:pPr>
        <w:autoSpaceDE w:val="0"/>
        <w:autoSpaceDN w:val="0"/>
        <w:adjustRightInd w:val="0"/>
        <w:spacing w:line="360" w:lineRule="auto"/>
        <w:ind w:firstLine="480" w:firstLineChars="200"/>
        <w:jc w:val="lef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w:t>
      </w:r>
      <w:r>
        <w:rPr>
          <w:rFonts w:ascii="宋体" w:hAnsi="宋体" w:cs="宋体"/>
          <w:color w:val="000000"/>
          <w:kern w:val="0"/>
          <w:sz w:val="24"/>
          <w:szCs w:val="24"/>
        </w:rPr>
        <w:t xml:space="preserve"> </w:t>
      </w:r>
      <w:r>
        <w:rPr>
          <w:rFonts w:hint="eastAsia" w:ascii="宋体" w:hAnsi="宋体" w:cs="宋体"/>
          <w:color w:val="000000"/>
          <w:kern w:val="0"/>
          <w:sz w:val="24"/>
          <w:szCs w:val="24"/>
        </w:rPr>
        <w:t>福利：福利是薪酬体系重要组成部分，是对员工生活的保障。包含：员工宿舍、各类补贴（工龄补贴、通讯补贴等）、</w:t>
      </w:r>
      <w:r>
        <w:rPr>
          <w:rFonts w:ascii="宋体" w:hAnsi="宋体" w:cs="宋体"/>
          <w:color w:val="000000"/>
          <w:kern w:val="0"/>
          <w:sz w:val="24"/>
          <w:szCs w:val="24"/>
        </w:rPr>
        <w:t>“</w:t>
      </w:r>
      <w:r>
        <w:rPr>
          <w:rFonts w:hint="eastAsia" w:ascii="宋体" w:hAnsi="宋体" w:cs="宋体"/>
          <w:color w:val="000000"/>
          <w:kern w:val="0"/>
          <w:sz w:val="24"/>
          <w:szCs w:val="24"/>
        </w:rPr>
        <w:t>五险</w:t>
      </w:r>
      <w:r>
        <w:rPr>
          <w:rFonts w:ascii="宋体" w:hAnsi="宋体" w:cs="宋体"/>
          <w:color w:val="000000"/>
          <w:kern w:val="0"/>
          <w:sz w:val="24"/>
          <w:szCs w:val="24"/>
        </w:rPr>
        <w:t>”</w:t>
      </w:r>
      <w:r>
        <w:rPr>
          <w:rFonts w:hint="eastAsia" w:ascii="宋体" w:hAnsi="宋体" w:cs="宋体"/>
          <w:color w:val="000000"/>
          <w:kern w:val="0"/>
          <w:sz w:val="24"/>
          <w:szCs w:val="24"/>
        </w:rPr>
        <w:t>（养老保险、医疗保险、失业保险、生育保险、工伤保险）、员工活动经费等。</w:t>
      </w:r>
    </w:p>
    <w:p w14:paraId="28894545">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sz w:val="24"/>
          <w:szCs w:val="24"/>
        </w:rPr>
        <w:t>公司制定了《人力资源管理制度》、《员工手册》等文件，建立多元化的员工关爱机制，完善核心人才保留机制，设立“优秀员工”评选方案，充分发挥典型示范作用，持续提升员工满意度。</w:t>
      </w:r>
    </w:p>
    <w:p w14:paraId="61BC8B27">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公司支持社会就业，并通过建立和不断完善员工招聘培训激励制度，为员工提供了公平的基于绩效的晋升空间和</w:t>
      </w:r>
      <w:r>
        <w:rPr>
          <w:rFonts w:ascii="宋体" w:hAnsi="宋体" w:cs="宋体"/>
          <w:color w:val="000000"/>
          <w:kern w:val="0"/>
          <w:sz w:val="24"/>
          <w:szCs w:val="24"/>
        </w:rPr>
        <w:t>广阔的发展通道</w:t>
      </w:r>
      <w:r>
        <w:rPr>
          <w:rFonts w:hint="eastAsia" w:ascii="宋体" w:hAnsi="宋体" w:cs="宋体"/>
          <w:color w:val="000000"/>
          <w:kern w:val="0"/>
          <w:sz w:val="24"/>
          <w:szCs w:val="24"/>
        </w:rPr>
        <w:t>。</w:t>
      </w:r>
      <w:r>
        <w:rPr>
          <w:rFonts w:ascii="宋体" w:hAnsi="宋体" w:cs="宋体"/>
          <w:color w:val="000000"/>
          <w:kern w:val="0"/>
          <w:sz w:val="24"/>
          <w:szCs w:val="24"/>
        </w:rPr>
        <w:t>从普通员工、技术岗位到管理岗位，给员工清晰的发展通预期，</w:t>
      </w:r>
      <w:r>
        <w:rPr>
          <w:rFonts w:hint="eastAsia" w:ascii="宋体" w:hAnsi="宋体" w:cs="宋体"/>
          <w:color w:val="000000"/>
          <w:kern w:val="0"/>
          <w:sz w:val="24"/>
          <w:szCs w:val="24"/>
        </w:rPr>
        <w:t>促进员工和公司共同成长</w:t>
      </w:r>
      <w:r>
        <w:rPr>
          <w:rFonts w:ascii="宋体" w:hAnsi="宋体" w:cs="宋体"/>
          <w:color w:val="000000"/>
          <w:kern w:val="0"/>
          <w:sz w:val="24"/>
          <w:szCs w:val="24"/>
        </w:rPr>
        <w:t>，帮助员工实现更好发展。</w:t>
      </w:r>
    </w:p>
    <w:p w14:paraId="07E6B0EA">
      <w:pPr>
        <w:spacing w:beforeLines="50" w:afterLines="50"/>
        <w:outlineLvl w:val="1"/>
        <w:rPr>
          <w:rFonts w:ascii="宋体" w:cs="宋体"/>
          <w:b/>
          <w:sz w:val="23"/>
          <w:szCs w:val="23"/>
        </w:rPr>
      </w:pPr>
      <w:r>
        <w:rPr>
          <w:rFonts w:hint="eastAsia" w:ascii="宋体" w:cs="宋体"/>
          <w:b/>
          <w:sz w:val="23"/>
          <w:szCs w:val="23"/>
        </w:rPr>
        <w:t>（三）环境保护</w:t>
      </w:r>
    </w:p>
    <w:p w14:paraId="158BFD4C">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自成立以来，始终坚持污染预防的环境保护理念，识别和收集有关环境管理的合规义务，遵循《环境空气质量标准》、《地表水环境质量标准》、《污水综合排放标准》、《大气污染综合排放标准》、《城市区域环境噪声标准》等国家法律法规；引入ISO14001环境管理体系，组织集中式和滚动式的内部审核管理，对体系运行情况进行实时监控，保持体系的有效性，推动环保治理工作的持续改进。公司定期组织实施污染物排放监测，公司为处理三废配备了相应的水处理装置、废气处理装置；对于固废由有资质的单位处理。</w:t>
      </w:r>
    </w:p>
    <w:p w14:paraId="63FA3CA4">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公司自成立以来没有发生环境污染事故。</w:t>
      </w:r>
    </w:p>
    <w:p w14:paraId="32F543BF">
      <w:pPr>
        <w:spacing w:beforeLines="50" w:afterLines="50"/>
        <w:outlineLvl w:val="1"/>
        <w:rPr>
          <w:rFonts w:ascii="宋体" w:cs="宋体"/>
          <w:b/>
          <w:sz w:val="23"/>
          <w:szCs w:val="23"/>
        </w:rPr>
      </w:pPr>
      <w:r>
        <w:rPr>
          <w:rFonts w:hint="eastAsia" w:ascii="宋体" w:cs="宋体"/>
          <w:b/>
          <w:sz w:val="23"/>
          <w:szCs w:val="23"/>
        </w:rPr>
        <w:t>（四）公平经营和消费者保护</w:t>
      </w:r>
    </w:p>
    <w:bookmarkEnd w:id="5"/>
    <w:bookmarkEnd w:id="6"/>
    <w:p w14:paraId="7D607FDD">
      <w:pPr>
        <w:autoSpaceDE w:val="0"/>
        <w:autoSpaceDN w:val="0"/>
        <w:adjustRightInd w:val="0"/>
        <w:ind w:firstLine="480" w:firstLineChars="200"/>
        <w:jc w:val="left"/>
        <w:rPr>
          <w:rFonts w:hint="eastAsia" w:ascii="&amp;quot" w:hAnsi="&amp;quot" w:cs="宋体"/>
          <w:kern w:val="0"/>
          <w:sz w:val="24"/>
          <w:szCs w:val="24"/>
        </w:rPr>
      </w:pPr>
      <w:r>
        <w:rPr>
          <w:rFonts w:hint="eastAsia" w:ascii="&amp;quot" w:hAnsi="&amp;quot" w:cs="宋体"/>
          <w:kern w:val="0"/>
          <w:sz w:val="24"/>
          <w:szCs w:val="24"/>
        </w:rPr>
        <w:t>（1）诚信营销</w:t>
      </w:r>
    </w:p>
    <w:p w14:paraId="1CECCCFD">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自成立以来，公司坚持“</w:t>
      </w:r>
      <w:r>
        <w:rPr>
          <w:rFonts w:hint="eastAsia" w:ascii="宋体" w:cs="宋体"/>
          <w:b/>
          <w:color w:val="000000"/>
          <w:kern w:val="0"/>
          <w:sz w:val="24"/>
          <w:szCs w:val="24"/>
        </w:rPr>
        <w:t>终于职守 诚实劳动 方便顾客 竭诚服务</w:t>
      </w:r>
      <w:r>
        <w:rPr>
          <w:rFonts w:ascii="宋体" w:cs="宋体"/>
          <w:color w:val="000000"/>
          <w:kern w:val="0"/>
          <w:sz w:val="24"/>
          <w:szCs w:val="24"/>
        </w:rPr>
        <w:t>”的</w:t>
      </w:r>
      <w:r>
        <w:rPr>
          <w:rFonts w:hint="eastAsia" w:ascii="宋体" w:cs="宋体"/>
          <w:color w:val="000000"/>
          <w:kern w:val="0"/>
          <w:sz w:val="24"/>
          <w:szCs w:val="24"/>
        </w:rPr>
        <w:t>核心价值观</w:t>
      </w:r>
      <w:r>
        <w:rPr>
          <w:rFonts w:ascii="宋体" w:cs="宋体"/>
          <w:color w:val="000000"/>
          <w:kern w:val="0"/>
          <w:sz w:val="24"/>
          <w:szCs w:val="24"/>
        </w:rPr>
        <w:t xml:space="preserve">，生产优质产品，对企业内部员工负责，对消费者负责。在宣传中，公司实事求是，不夸大，不弄虚作假欺诈消费者，在市场上赢得了良好的口碑。 </w:t>
      </w:r>
    </w:p>
    <w:p w14:paraId="52926106">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公司意识到，在产品质量就是企业生命的今天，产品质量俨然已成为一个企业在市场中立足的根本和发展的保证。产品质量的优劣决定产品的生命乃至企业的发展命运。没有质量就没有市场，没有质量就没有效益，没有质量就没有发展。 </w:t>
      </w:r>
    </w:p>
    <w:p w14:paraId="06F1B31E">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公司在车间</w:t>
      </w:r>
      <w:r>
        <w:rPr>
          <w:rFonts w:hint="eastAsia" w:ascii="宋体" w:cs="宋体"/>
          <w:color w:val="000000"/>
          <w:kern w:val="0"/>
          <w:sz w:val="24"/>
          <w:szCs w:val="24"/>
        </w:rPr>
        <w:t>生产</w:t>
      </w:r>
      <w:r>
        <w:rPr>
          <w:rFonts w:ascii="宋体" w:cs="宋体"/>
          <w:color w:val="000000"/>
          <w:kern w:val="0"/>
          <w:sz w:val="24"/>
          <w:szCs w:val="24"/>
        </w:rPr>
        <w:t>的每个环节都设有质检程序，</w:t>
      </w:r>
      <w:r>
        <w:rPr>
          <w:rFonts w:hint="eastAsia" w:ascii="宋体" w:cs="宋体"/>
          <w:color w:val="000000"/>
          <w:kern w:val="0"/>
          <w:sz w:val="24"/>
          <w:szCs w:val="24"/>
        </w:rPr>
        <w:t>严格控制每个生产环节进度，控制员工安全风险，实时督促，让安全成为习惯。</w:t>
      </w:r>
      <w:r>
        <w:rPr>
          <w:rFonts w:ascii="宋体" w:cs="宋体"/>
          <w:color w:val="000000"/>
          <w:kern w:val="0"/>
          <w:sz w:val="24"/>
          <w:szCs w:val="24"/>
        </w:rPr>
        <w:t>专业的质检人员层层把关，</w:t>
      </w:r>
      <w:r>
        <w:rPr>
          <w:rFonts w:hint="eastAsia" w:ascii="宋体" w:cs="宋体"/>
          <w:color w:val="000000"/>
          <w:kern w:val="0"/>
          <w:sz w:val="24"/>
          <w:szCs w:val="24"/>
        </w:rPr>
        <w:t>不生产缺陷</w:t>
      </w:r>
      <w:r>
        <w:rPr>
          <w:rFonts w:ascii="宋体" w:cs="宋体"/>
          <w:color w:val="000000"/>
          <w:kern w:val="0"/>
          <w:sz w:val="24"/>
          <w:szCs w:val="24"/>
        </w:rPr>
        <w:t>产品、</w:t>
      </w:r>
      <w:r>
        <w:rPr>
          <w:rFonts w:hint="eastAsia" w:ascii="宋体" w:cs="宋体"/>
          <w:color w:val="000000"/>
          <w:kern w:val="0"/>
          <w:sz w:val="24"/>
          <w:szCs w:val="24"/>
        </w:rPr>
        <w:t>不接收缺陷产品、不流出缺陷产品</w:t>
      </w:r>
      <w:r>
        <w:rPr>
          <w:rFonts w:ascii="宋体" w:cs="宋体"/>
          <w:color w:val="000000"/>
          <w:kern w:val="0"/>
          <w:sz w:val="24"/>
          <w:szCs w:val="24"/>
        </w:rPr>
        <w:t xml:space="preserve">。 </w:t>
      </w:r>
    </w:p>
    <w:p w14:paraId="11709019">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在产品营销中，公司致力于给消费者最适合的</w:t>
      </w:r>
      <w:r>
        <w:rPr>
          <w:rFonts w:hint="eastAsia" w:ascii="宋体" w:cs="宋体"/>
          <w:color w:val="000000"/>
          <w:kern w:val="0"/>
          <w:sz w:val="24"/>
          <w:szCs w:val="24"/>
        </w:rPr>
        <w:t>产品</w:t>
      </w:r>
      <w:r>
        <w:rPr>
          <w:rFonts w:ascii="宋体" w:cs="宋体"/>
          <w:color w:val="000000"/>
          <w:kern w:val="0"/>
          <w:sz w:val="24"/>
          <w:szCs w:val="24"/>
        </w:rPr>
        <w:t>，不会因为眼前的利益欺骗或变相欺骗消费者</w:t>
      </w:r>
      <w:r>
        <w:rPr>
          <w:rFonts w:hint="eastAsia" w:ascii="宋体" w:cs="宋体"/>
          <w:color w:val="000000"/>
          <w:kern w:val="0"/>
          <w:sz w:val="24"/>
          <w:szCs w:val="24"/>
        </w:rPr>
        <w:t>，并推出了私人定制服务，针对客户要求进行个性化定制。</w:t>
      </w:r>
      <w:r>
        <w:rPr>
          <w:rFonts w:ascii="宋体" w:cs="宋体"/>
          <w:color w:val="000000"/>
          <w:kern w:val="0"/>
          <w:sz w:val="24"/>
          <w:szCs w:val="24"/>
        </w:rPr>
        <w:t xml:space="preserve">对于消费者关于产品方面的疑问，公司积极回应，力求给消费者最好的答复。 </w:t>
      </w:r>
    </w:p>
    <w:p w14:paraId="3E48E7CC">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公司有完善的售后服务体系，</w:t>
      </w:r>
      <w:r>
        <w:rPr>
          <w:rFonts w:hint="eastAsia" w:ascii="宋体" w:cs="宋体"/>
          <w:color w:val="000000"/>
          <w:kern w:val="0"/>
          <w:sz w:val="24"/>
          <w:szCs w:val="24"/>
        </w:rPr>
        <w:t>秉承“</w:t>
      </w:r>
      <w:r>
        <w:rPr>
          <w:rFonts w:hint="eastAsia" w:ascii="宋体" w:hAnsi="宋体" w:cs="FangSong_GB2312"/>
          <w:b/>
          <w:color w:val="000000"/>
          <w:sz w:val="24"/>
        </w:rPr>
        <w:t>感恩客户  回报社会</w:t>
      </w:r>
      <w:r>
        <w:rPr>
          <w:rFonts w:hint="eastAsia" w:ascii="宋体" w:cs="宋体"/>
          <w:color w:val="000000"/>
          <w:kern w:val="0"/>
          <w:sz w:val="24"/>
          <w:szCs w:val="24"/>
        </w:rPr>
        <w:t>” 的超值服务理念，提供从售前、售中到售后的全生命周期的无忧服务，将增值服务融入到与每一位客户密切相关的任何一个环节。</w:t>
      </w:r>
    </w:p>
    <w:p w14:paraId="6E4173F7">
      <w:pPr>
        <w:autoSpaceDE w:val="0"/>
        <w:autoSpaceDN w:val="0"/>
        <w:adjustRightInd w:val="0"/>
        <w:spacing w:line="360" w:lineRule="auto"/>
        <w:ind w:firstLine="480" w:firstLineChars="200"/>
        <w:jc w:val="left"/>
        <w:rPr>
          <w:rFonts w:ascii="宋体" w:hAnsi="宋体" w:cs="FangSong_GB2312"/>
          <w:color w:val="000000"/>
          <w:sz w:val="24"/>
        </w:rPr>
      </w:pPr>
      <w:r>
        <w:rPr>
          <w:rFonts w:hint="eastAsia" w:ascii="宋体" w:cs="宋体"/>
          <w:color w:val="000000"/>
          <w:kern w:val="0"/>
          <w:sz w:val="24"/>
          <w:szCs w:val="24"/>
        </w:rPr>
        <w:t>公司为客户提供可靠的售后承诺，</w:t>
      </w:r>
      <w:r>
        <w:rPr>
          <w:rFonts w:hint="eastAsia" w:ascii="宋体" w:hAnsi="宋体" w:cs="FangSong_GB2312"/>
          <w:color w:val="000000"/>
          <w:sz w:val="24"/>
        </w:rPr>
        <w:t xml:space="preserve">公司建立及时反馈处理用户投诉意见的快速反应机制解决问题的规定。 </w:t>
      </w:r>
    </w:p>
    <w:p w14:paraId="7DA47CB6">
      <w:pPr>
        <w:spacing w:line="360" w:lineRule="auto"/>
        <w:ind w:firstLine="480" w:firstLineChars="200"/>
        <w:rPr>
          <w:rFonts w:hint="eastAsia" w:ascii="宋体" w:hAnsi="宋体" w:cs="FangSong_GB2312"/>
          <w:color w:val="000000"/>
          <w:sz w:val="24"/>
        </w:rPr>
      </w:pPr>
      <w:r>
        <w:rPr>
          <w:rFonts w:hint="eastAsia" w:ascii="宋体" w:hAnsi="宋体" w:cs="FangSong_GB2312"/>
          <w:color w:val="000000"/>
          <w:sz w:val="24"/>
        </w:rPr>
        <w:t>1 ）生产厂应保证所生产的纸张符合本标准或合同的规定。</w:t>
      </w:r>
    </w:p>
    <w:p w14:paraId="613C8E66">
      <w:pPr>
        <w:spacing w:line="360" w:lineRule="auto"/>
        <w:ind w:firstLine="480" w:firstLineChars="200"/>
        <w:rPr>
          <w:rFonts w:hint="eastAsia" w:ascii="宋体" w:hAnsi="宋体" w:cs="FangSong_GB2312"/>
          <w:color w:val="000000"/>
          <w:sz w:val="24"/>
        </w:rPr>
      </w:pPr>
      <w:r>
        <w:rPr>
          <w:rFonts w:hint="eastAsia" w:ascii="宋体" w:hAnsi="宋体" w:cs="FangSong_GB2312"/>
          <w:color w:val="000000"/>
          <w:sz w:val="24"/>
        </w:rPr>
        <w:t>2 ）应为客户提供技术支撑，适宜时给出合理的技术加工参数并对客户进行生产技术指导。</w:t>
      </w:r>
    </w:p>
    <w:p w14:paraId="27DBAB2A">
      <w:pPr>
        <w:spacing w:line="360" w:lineRule="auto"/>
        <w:ind w:firstLine="480" w:firstLineChars="200"/>
        <w:rPr>
          <w:rFonts w:hint="eastAsia" w:ascii="宋体" w:hAnsi="宋体" w:cs="FangSong_GB2312"/>
          <w:color w:val="000000"/>
          <w:sz w:val="24"/>
        </w:rPr>
      </w:pPr>
      <w:r>
        <w:rPr>
          <w:rFonts w:hint="eastAsia" w:ascii="宋体" w:hAnsi="宋体" w:cs="FangSong_GB2312"/>
          <w:color w:val="000000"/>
          <w:sz w:val="24"/>
        </w:rPr>
        <w:t>3） 当客户有诉求或需要时，应在 24 h 内作出响应，3 d 内予以解决。</w:t>
      </w:r>
    </w:p>
    <w:p w14:paraId="67DD967D">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公司十分注重来自</w:t>
      </w:r>
      <w:r>
        <w:rPr>
          <w:rFonts w:hint="eastAsia" w:ascii="宋体" w:cs="宋体"/>
          <w:color w:val="000000"/>
          <w:kern w:val="0"/>
          <w:sz w:val="24"/>
          <w:szCs w:val="24"/>
        </w:rPr>
        <w:t>客户和</w:t>
      </w:r>
      <w:r>
        <w:rPr>
          <w:rFonts w:ascii="宋体" w:cs="宋体"/>
          <w:color w:val="000000"/>
          <w:kern w:val="0"/>
          <w:sz w:val="24"/>
          <w:szCs w:val="24"/>
        </w:rPr>
        <w:t>消费者的反馈信息，</w:t>
      </w:r>
      <w:r>
        <w:rPr>
          <w:rFonts w:hint="eastAsia" w:ascii="宋体" w:cs="宋体"/>
          <w:color w:val="000000"/>
          <w:kern w:val="0"/>
          <w:sz w:val="24"/>
          <w:szCs w:val="24"/>
        </w:rPr>
        <w:t>由销售服务部负责</w:t>
      </w:r>
      <w:r>
        <w:rPr>
          <w:rFonts w:ascii="宋体" w:cs="宋体"/>
          <w:color w:val="000000"/>
          <w:kern w:val="0"/>
          <w:sz w:val="24"/>
          <w:szCs w:val="24"/>
        </w:rPr>
        <w:t>收集记录消费者的意见和建议，并针对消费者在消费过程中遇到的问题积极配合，及时提供合理的解决方案。对于产品问题引起的退换货，公司在确认信息后积极配合解决，确保有效处理各种消费问题，尽可能降低问题产品对消费者的伤害。针对已知的问题，公司会分环节分车间严查漏洞，及时修正，努力消除产品的质量、安全隐患，为消费者提供更高质量的产品以及更完善的服务。</w:t>
      </w:r>
    </w:p>
    <w:p w14:paraId="3EA96A4E">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建有完善的合同管理制度，合同签订充分考虑合作方权益，努力做到权责平衡，保证公平公正。公司切实履行商业合同以及对外订立的合同，除不可抗力和对方违约，以及经双方当事人协商变更、解除者外，合同基本都能</w:t>
      </w:r>
      <w:r>
        <w:rPr>
          <w:rFonts w:hint="eastAsia" w:ascii="宋体" w:cs="宋体"/>
          <w:color w:val="000000"/>
          <w:kern w:val="0"/>
          <w:sz w:val="24"/>
          <w:szCs w:val="24"/>
        </w:rPr>
        <w:t>按</w:t>
      </w:r>
      <w:r>
        <w:rPr>
          <w:rFonts w:ascii="宋体" w:cs="宋体"/>
          <w:color w:val="000000"/>
          <w:kern w:val="0"/>
          <w:sz w:val="24"/>
          <w:szCs w:val="24"/>
        </w:rPr>
        <w:t>约定执行。公司成立以来诚实守信的履约行为在行业中赢得了良好的口碑，近年来，更是有为数不少的企业为了寻求合作主动找到公司进行考察、洽谈。</w:t>
      </w:r>
    </w:p>
    <w:p w14:paraId="77C106A5">
      <w:pPr>
        <w:widowControl/>
        <w:spacing w:line="219" w:lineRule="atLeast"/>
        <w:ind w:firstLine="480" w:firstLineChars="200"/>
        <w:jc w:val="left"/>
        <w:rPr>
          <w:rFonts w:hint="eastAsia" w:ascii="&amp;quot" w:hAnsi="&amp;quot" w:cs="宋体"/>
          <w:kern w:val="0"/>
          <w:sz w:val="24"/>
          <w:szCs w:val="24"/>
        </w:rPr>
      </w:pPr>
    </w:p>
    <w:p w14:paraId="38825F86">
      <w:pPr>
        <w:autoSpaceDE w:val="0"/>
        <w:autoSpaceDN w:val="0"/>
        <w:adjustRightInd w:val="0"/>
        <w:ind w:firstLine="480" w:firstLineChars="200"/>
        <w:jc w:val="left"/>
        <w:rPr>
          <w:rFonts w:hint="eastAsia" w:ascii="&amp;quot" w:hAnsi="&amp;quot" w:cs="宋体"/>
          <w:kern w:val="0"/>
          <w:sz w:val="24"/>
          <w:szCs w:val="24"/>
        </w:rPr>
      </w:pPr>
      <w:r>
        <w:rPr>
          <w:rFonts w:hint="eastAsia" w:ascii="&amp;quot" w:hAnsi="&amp;quot" w:cs="宋体"/>
          <w:kern w:val="0"/>
          <w:sz w:val="24"/>
          <w:szCs w:val="24"/>
        </w:rPr>
        <w:t>（2）</w:t>
      </w:r>
      <w:r>
        <w:rPr>
          <w:rFonts w:hint="eastAsia" w:ascii="宋体" w:cs="宋体"/>
          <w:color w:val="000000"/>
          <w:kern w:val="0"/>
          <w:sz w:val="24"/>
          <w:szCs w:val="24"/>
        </w:rPr>
        <w:t>反腐败</w:t>
      </w:r>
    </w:p>
    <w:p w14:paraId="047173AD">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公司十分重视廉洁运营相关工作，在采购等敏感环节设专人监督，建立透明的操作模式，将工作内容曝光在众人目光之下，让企业员工积极参与进来，在认识到廉洁运营重要性的同时起到监督管理作用。 </w:t>
      </w:r>
    </w:p>
    <w:p w14:paraId="59851E48">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公司将反腐败相关内容具体化，通过多种形式宣传反腐知识，提高员工反腐意识，从根源处杜绝腐败之风。具体举措有： </w:t>
      </w:r>
    </w:p>
    <w:p w14:paraId="453CE9B2">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1、以机制促廉政。</w:t>
      </w:r>
      <w:r>
        <w:rPr>
          <w:rFonts w:hint="eastAsia" w:ascii="宋体" w:cs="宋体"/>
          <w:color w:val="000000"/>
          <w:kern w:val="0"/>
          <w:sz w:val="24"/>
          <w:szCs w:val="24"/>
        </w:rPr>
        <w:t>党员和干部带头进行</w:t>
      </w:r>
      <w:r>
        <w:rPr>
          <w:rFonts w:ascii="宋体" w:cs="宋体"/>
          <w:color w:val="000000"/>
          <w:kern w:val="0"/>
          <w:sz w:val="24"/>
          <w:szCs w:val="24"/>
        </w:rPr>
        <w:t>廉政建设，</w:t>
      </w:r>
      <w:r>
        <w:rPr>
          <w:rFonts w:hint="eastAsia" w:ascii="宋体" w:cs="宋体"/>
          <w:color w:val="000000"/>
          <w:kern w:val="0"/>
          <w:sz w:val="24"/>
          <w:szCs w:val="24"/>
        </w:rPr>
        <w:t>并</w:t>
      </w:r>
      <w:r>
        <w:rPr>
          <w:rFonts w:ascii="宋体" w:cs="宋体"/>
          <w:color w:val="000000"/>
          <w:kern w:val="0"/>
          <w:sz w:val="24"/>
          <w:szCs w:val="24"/>
        </w:rPr>
        <w:t>渗透到</w:t>
      </w:r>
      <w:r>
        <w:rPr>
          <w:rFonts w:hint="eastAsia" w:ascii="宋体" w:cs="宋体"/>
          <w:color w:val="000000"/>
          <w:kern w:val="0"/>
          <w:sz w:val="24"/>
          <w:szCs w:val="24"/>
        </w:rPr>
        <w:t>各项基层管理活动和</w:t>
      </w:r>
      <w:r>
        <w:rPr>
          <w:rFonts w:ascii="宋体" w:cs="宋体"/>
          <w:color w:val="000000"/>
          <w:kern w:val="0"/>
          <w:sz w:val="24"/>
          <w:szCs w:val="24"/>
        </w:rPr>
        <w:t xml:space="preserve">市场化运营等每个环节。落实职工知情权，扩大职工参与权，保证党风廉政建设扎扎实实取得实效； </w:t>
      </w:r>
    </w:p>
    <w:p w14:paraId="24DF80D8">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2、以活动强意识。深入开展“廉洁从业宣教”活动，包括学廉洁知识、听廉政报告、观看廉洁警示片、廉洁竞赛答题等内容，增强领导人员的大局意识、宗旨意识、法纪意识和监督意识； </w:t>
      </w:r>
    </w:p>
    <w:p w14:paraId="24C69F93">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3、以岗位树正气。强化“一岗双责”意识，有针对性地展开岗位廉洁教育，建立完善动态、立体式防控措施，切实杜绝违规违纪问题发生，营造风清气正、勤廉服务的良好氛围。 </w:t>
      </w:r>
    </w:p>
    <w:p w14:paraId="7DECBE8C">
      <w:pPr>
        <w:widowControl/>
        <w:spacing w:line="360" w:lineRule="auto"/>
        <w:jc w:val="left"/>
        <w:rPr>
          <w:rFonts w:hint="eastAsia" w:ascii="&amp;quot" w:hAnsi="&amp;quot" w:cs="宋体"/>
          <w:kern w:val="0"/>
          <w:sz w:val="24"/>
          <w:szCs w:val="24"/>
        </w:rPr>
      </w:pPr>
      <w:r>
        <w:rPr>
          <w:rFonts w:hint="eastAsia" w:ascii="&amp;quot" w:hAnsi="&amp;quot" w:cs="宋体"/>
          <w:kern w:val="0"/>
          <w:sz w:val="24"/>
          <w:szCs w:val="24"/>
        </w:rPr>
        <w:t>（3）在价值链中促进社会责任</w:t>
      </w:r>
    </w:p>
    <w:p w14:paraId="197114C7">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严格履行供应商、经销商和服务合作伙伴选择评价的准则，公平考虑相关方在质量、环境和职业健康安全等方面绩效和管理水平，选择合适的相关方合作。对合作公司定期评估相关方的绩效表现，基于公平公正公开的原则，促进供应链的优化，提升整体价值链的绩效。</w:t>
      </w:r>
    </w:p>
    <w:p w14:paraId="02B17FDC">
      <w:pPr>
        <w:widowControl/>
        <w:spacing w:line="360" w:lineRule="auto"/>
        <w:jc w:val="left"/>
        <w:rPr>
          <w:rFonts w:hint="eastAsia" w:ascii="&amp;quot" w:hAnsi="&amp;quot" w:cs="宋体"/>
          <w:kern w:val="0"/>
          <w:sz w:val="24"/>
          <w:szCs w:val="24"/>
        </w:rPr>
      </w:pPr>
      <w:r>
        <w:rPr>
          <w:rFonts w:hint="eastAsia" w:ascii="&amp;quot" w:hAnsi="&amp;quot" w:cs="宋体"/>
          <w:kern w:val="0"/>
          <w:sz w:val="24"/>
          <w:szCs w:val="24"/>
        </w:rPr>
        <w:t>（4）产权保护</w:t>
      </w:r>
      <w:bookmarkStart w:id="7" w:name="_Toc451610988"/>
      <w:bookmarkStart w:id="8" w:name="_Toc451610895"/>
      <w:r>
        <w:rPr>
          <w:rFonts w:hint="eastAsia" w:ascii="&amp;quot" w:hAnsi="&amp;quot" w:cs="宋体"/>
          <w:kern w:val="0"/>
          <w:sz w:val="24"/>
          <w:szCs w:val="24"/>
        </w:rPr>
        <w:t xml:space="preserve"> </w:t>
      </w:r>
    </w:p>
    <w:p w14:paraId="2DE86070">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公司坚决遵守知识产权相关法律法规，并建立了严格的知识产权管理制度。除了向内部员工普及产权知识外，公司还积极响应市场号召，通过座谈会等不同形式向消费者及公司合作伙伴宣传产权保护意识，通过自身积极影响推动市场产权保护进程。具体举措如： </w:t>
      </w:r>
    </w:p>
    <w:p w14:paraId="26F72C6D">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1、增强产权保护意识。既尊重他人识产权，也注重对自己产权的保护，通过与国际社会的通力合作，赢得中国企业和企业家的荣誉与尊严； </w:t>
      </w:r>
    </w:p>
    <w:p w14:paraId="7EC1E573">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2、完善公司自主创新机制，积极开展自主创新活动。只有大力开发具有自主产权的关键技术和核心技术，拥有行业更多的自主知识产权，才能摆脱受制于人的弱者地位，才能有经济竞争力以及受人尊重的国际影响力； </w:t>
      </w:r>
    </w:p>
    <w:p w14:paraId="4893F967">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3、在日常生产经营活动中，严格依法办事。不侵害他人的产权，不盗用他人的专利技术，不制造、不使用、不销售、不传播假冒产品，不盗用和仿造他人的商标、产品标识和外观设计； </w:t>
      </w:r>
    </w:p>
    <w:p w14:paraId="10734DDF">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4、坚决与侵害他人产权的不法行为做斗争，积极举报涉及产权的违法行为，主动配合政府做好对产权违法行为的遏制、查处和打击工作； </w:t>
      </w:r>
    </w:p>
    <w:p w14:paraId="517DB91A">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5、积极参与宣传保护产权的社会活动，与社会各界共同致力于产权事业的健康发展。认真履行与产权相关的社会责任，增强全社会产权保护意识，为切实推进我国产权保护事业的发展作出贡献。</w:t>
      </w:r>
    </w:p>
    <w:p w14:paraId="26ACADA0">
      <w:pPr>
        <w:widowControl/>
        <w:spacing w:line="219" w:lineRule="atLeast"/>
        <w:ind w:firstLine="480"/>
        <w:jc w:val="left"/>
        <w:rPr>
          <w:rFonts w:hint="eastAsia" w:ascii="&amp;quot" w:hAnsi="&amp;quot" w:cs="宋体"/>
          <w:kern w:val="0"/>
          <w:sz w:val="24"/>
          <w:szCs w:val="24"/>
        </w:rPr>
      </w:pPr>
    </w:p>
    <w:p w14:paraId="1AF3CBC4">
      <w:pPr>
        <w:spacing w:beforeLines="50" w:afterLines="50"/>
        <w:outlineLvl w:val="1"/>
        <w:rPr>
          <w:rFonts w:ascii="宋体" w:cs="宋体"/>
          <w:b/>
          <w:sz w:val="23"/>
          <w:szCs w:val="23"/>
        </w:rPr>
      </w:pPr>
      <w:r>
        <w:rPr>
          <w:rFonts w:hint="eastAsia" w:ascii="宋体" w:cs="宋体"/>
          <w:b/>
          <w:sz w:val="23"/>
          <w:szCs w:val="23"/>
        </w:rPr>
        <w:t>（五）社区参与和发展</w:t>
      </w:r>
    </w:p>
    <w:p w14:paraId="595365E8">
      <w:pPr>
        <w:rPr>
          <w:rFonts w:ascii="宋体" w:cs="宋体"/>
          <w:b/>
          <w:sz w:val="23"/>
          <w:szCs w:val="23"/>
        </w:rPr>
      </w:pPr>
      <w:r>
        <w:rPr>
          <w:rFonts w:hint="eastAsia" w:ascii="宋体" w:cs="宋体"/>
          <w:b/>
          <w:sz w:val="23"/>
          <w:szCs w:val="23"/>
        </w:rPr>
        <w:t>(1) 公益支持</w:t>
      </w:r>
    </w:p>
    <w:p w14:paraId="13D7E5A7">
      <w:pPr>
        <w:topLinePunct/>
        <w:adjustRightInd w:val="0"/>
        <w:snapToGrid w:val="0"/>
        <w:spacing w:before="50" w:after="50" w:line="300" w:lineRule="auto"/>
        <w:ind w:firstLine="480"/>
        <w:rPr>
          <w:rFonts w:ascii="宋体" w:cs="宋体"/>
          <w:color w:val="000000"/>
          <w:kern w:val="0"/>
          <w:sz w:val="24"/>
          <w:szCs w:val="24"/>
        </w:rPr>
      </w:pPr>
      <w:r>
        <w:rPr>
          <w:rFonts w:hint="eastAsia" w:ascii="宋体" w:cs="宋体"/>
          <w:color w:val="000000"/>
          <w:kern w:val="0"/>
          <w:sz w:val="24"/>
          <w:szCs w:val="24"/>
        </w:rPr>
        <w:t>华川集团发展壮大的同时，牢记奉献社会，造福一方，以奉献爱心回报社会，诠释企业的价值观念和人文精神。公司在抗击新型肺炎疫情的形势下，积极投身到常态化疫情防控工作中，推动生产生活秩序恢复正常，</w:t>
      </w:r>
      <w:r>
        <w:rPr>
          <w:rFonts w:hint="eastAsia" w:ascii="宋体" w:hAnsi="宋体" w:cs="FangSong_GB2312"/>
          <w:color w:val="000000"/>
          <w:sz w:val="24"/>
        </w:rPr>
        <w:t>近三年的公益捐款如下：</w:t>
      </w:r>
    </w:p>
    <w:p w14:paraId="176B1ECC">
      <w:pPr>
        <w:spacing w:line="360" w:lineRule="auto"/>
        <w:jc w:val="center"/>
        <w:rPr>
          <w:rFonts w:ascii="宋体" w:hAnsi="宋体"/>
          <w:b/>
          <w:color w:val="000000"/>
          <w:sz w:val="24"/>
        </w:rPr>
      </w:pPr>
      <w:r>
        <w:rPr>
          <w:rFonts w:hint="eastAsia"/>
          <w:b/>
          <w:color w:val="000000"/>
          <w:sz w:val="24"/>
        </w:rPr>
        <w:t>近三年</w:t>
      </w:r>
      <w:r>
        <w:rPr>
          <w:rFonts w:hint="eastAsia" w:ascii="宋体" w:hAnsi="宋体"/>
          <w:b/>
          <w:color w:val="000000"/>
          <w:sz w:val="24"/>
        </w:rPr>
        <w:t>公司公益捐款情况</w:t>
      </w:r>
    </w:p>
    <w:tbl>
      <w:tblPr>
        <w:tblStyle w:val="37"/>
        <w:tblW w:w="5245" w:type="pct"/>
        <w:tblInd w:w="0"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autofit"/>
        <w:tblCellMar>
          <w:top w:w="0" w:type="dxa"/>
          <w:left w:w="108" w:type="dxa"/>
          <w:bottom w:w="0" w:type="dxa"/>
          <w:right w:w="108" w:type="dxa"/>
        </w:tblCellMar>
      </w:tblPr>
      <w:tblGrid>
        <w:gridCol w:w="960"/>
        <w:gridCol w:w="1377"/>
        <w:gridCol w:w="2591"/>
        <w:gridCol w:w="2224"/>
        <w:gridCol w:w="1788"/>
      </w:tblGrid>
      <w:tr w14:paraId="5627BB1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404" w:hRule="atLeast"/>
          <w:tblHeader/>
        </w:trPr>
        <w:tc>
          <w:tcPr>
            <w:tcW w:w="537" w:type="pct"/>
            <w:shd w:val="clear" w:color="auto" w:fill="5B9BD5"/>
            <w:vAlign w:val="center"/>
          </w:tcPr>
          <w:p w14:paraId="64E2386B">
            <w:pPr>
              <w:topLinePunct/>
              <w:adjustRightInd w:val="0"/>
              <w:snapToGrid w:val="0"/>
              <w:spacing w:before="50" w:after="50" w:line="300" w:lineRule="auto"/>
              <w:jc w:val="center"/>
              <w:rPr>
                <w:rFonts w:ascii="黑体" w:hAnsi="黑体" w:eastAsia="黑体"/>
                <w:b/>
                <w:color w:val="FFFFFF"/>
                <w:szCs w:val="21"/>
              </w:rPr>
            </w:pPr>
            <w:r>
              <w:rPr>
                <w:rFonts w:ascii="黑体" w:hAnsi="黑体" w:eastAsia="黑体"/>
                <w:b/>
                <w:color w:val="FFFFFF"/>
                <w:szCs w:val="21"/>
              </w:rPr>
              <w:t>序号</w:t>
            </w:r>
          </w:p>
        </w:tc>
        <w:tc>
          <w:tcPr>
            <w:tcW w:w="770" w:type="pct"/>
            <w:shd w:val="clear" w:color="auto" w:fill="5B9BD5"/>
            <w:vAlign w:val="center"/>
          </w:tcPr>
          <w:p w14:paraId="73856D41">
            <w:pPr>
              <w:topLinePunct/>
              <w:adjustRightInd w:val="0"/>
              <w:snapToGrid w:val="0"/>
              <w:spacing w:before="50" w:after="50" w:line="300" w:lineRule="auto"/>
              <w:jc w:val="center"/>
              <w:rPr>
                <w:rFonts w:ascii="黑体" w:hAnsi="黑体" w:eastAsia="黑体"/>
                <w:b/>
                <w:color w:val="FFFFFF"/>
                <w:szCs w:val="21"/>
              </w:rPr>
            </w:pPr>
            <w:r>
              <w:rPr>
                <w:rFonts w:ascii="黑体" w:hAnsi="黑体" w:eastAsia="黑体"/>
                <w:b/>
                <w:bCs/>
                <w:color w:val="FFFFFF"/>
                <w:szCs w:val="21"/>
              </w:rPr>
              <w:t>重点支持领域</w:t>
            </w:r>
          </w:p>
        </w:tc>
        <w:tc>
          <w:tcPr>
            <w:tcW w:w="1449" w:type="pct"/>
            <w:shd w:val="clear" w:color="auto" w:fill="5B9BD5"/>
            <w:vAlign w:val="center"/>
          </w:tcPr>
          <w:p w14:paraId="78AF578F">
            <w:pPr>
              <w:topLinePunct/>
              <w:adjustRightInd w:val="0"/>
              <w:snapToGrid w:val="0"/>
              <w:spacing w:before="50" w:after="50" w:line="300" w:lineRule="auto"/>
              <w:jc w:val="center"/>
              <w:rPr>
                <w:rFonts w:ascii="黑体" w:hAnsi="黑体" w:eastAsia="黑体"/>
                <w:b/>
                <w:color w:val="FFFFFF"/>
                <w:szCs w:val="21"/>
              </w:rPr>
            </w:pPr>
            <w:r>
              <w:rPr>
                <w:rFonts w:ascii="黑体" w:hAnsi="黑体" w:eastAsia="黑体"/>
                <w:b/>
                <w:color w:val="FFFFFF"/>
                <w:szCs w:val="21"/>
              </w:rPr>
              <w:t>公益支持项目</w:t>
            </w:r>
          </w:p>
        </w:tc>
        <w:tc>
          <w:tcPr>
            <w:tcW w:w="1244" w:type="pct"/>
            <w:shd w:val="clear" w:color="auto" w:fill="5B9BD5"/>
            <w:vAlign w:val="center"/>
          </w:tcPr>
          <w:p w14:paraId="696802FE">
            <w:pPr>
              <w:topLinePunct/>
              <w:adjustRightInd w:val="0"/>
              <w:snapToGrid w:val="0"/>
              <w:spacing w:before="50" w:after="50" w:line="300" w:lineRule="auto"/>
              <w:jc w:val="center"/>
              <w:rPr>
                <w:rFonts w:ascii="黑体" w:hAnsi="黑体" w:eastAsia="黑体"/>
                <w:b/>
                <w:color w:val="FFFFFF"/>
                <w:szCs w:val="21"/>
              </w:rPr>
            </w:pPr>
            <w:r>
              <w:rPr>
                <w:rFonts w:ascii="黑体" w:hAnsi="黑体" w:eastAsia="黑体"/>
                <w:b/>
                <w:color w:val="FFFFFF"/>
                <w:szCs w:val="21"/>
              </w:rPr>
              <w:t>选择理由</w:t>
            </w:r>
          </w:p>
        </w:tc>
        <w:tc>
          <w:tcPr>
            <w:tcW w:w="1000" w:type="pct"/>
            <w:shd w:val="clear" w:color="auto" w:fill="5B9BD5"/>
            <w:vAlign w:val="center"/>
          </w:tcPr>
          <w:p w14:paraId="0687466F">
            <w:pPr>
              <w:topLinePunct/>
              <w:adjustRightInd w:val="0"/>
              <w:snapToGrid w:val="0"/>
              <w:spacing w:before="50" w:after="50" w:line="300" w:lineRule="auto"/>
              <w:jc w:val="center"/>
              <w:rPr>
                <w:rFonts w:ascii="黑体" w:hAnsi="黑体" w:eastAsia="黑体"/>
                <w:b/>
                <w:color w:val="FFFFFF"/>
                <w:szCs w:val="21"/>
                <w:highlight w:val="yellow"/>
              </w:rPr>
            </w:pPr>
            <w:r>
              <w:rPr>
                <w:rFonts w:ascii="黑体" w:hAnsi="黑体" w:eastAsia="黑体"/>
                <w:b/>
                <w:color w:val="FFFFFF"/>
                <w:szCs w:val="21"/>
              </w:rPr>
              <w:t>金额（万元）</w:t>
            </w:r>
            <w:r>
              <w:rPr>
                <w:rFonts w:hint="eastAsia" w:ascii="黑体" w:hAnsi="黑体" w:eastAsia="黑体"/>
                <w:b/>
                <w:color w:val="FFFFFF"/>
                <w:szCs w:val="21"/>
              </w:rPr>
              <w:t>或物资</w:t>
            </w:r>
          </w:p>
        </w:tc>
      </w:tr>
      <w:tr w14:paraId="44F48E3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537" w:type="pct"/>
            <w:shd w:val="clear" w:color="auto" w:fill="auto"/>
            <w:vAlign w:val="center"/>
          </w:tcPr>
          <w:p w14:paraId="431E7DB1">
            <w:pPr>
              <w:topLinePunct/>
              <w:adjustRightInd w:val="0"/>
              <w:snapToGrid w:val="0"/>
              <w:spacing w:before="50" w:after="50" w:line="300" w:lineRule="auto"/>
              <w:jc w:val="center"/>
              <w:rPr>
                <w:rFonts w:ascii="黑体" w:hAnsi="黑体" w:eastAsia="黑体"/>
                <w:szCs w:val="21"/>
              </w:rPr>
            </w:pPr>
            <w:r>
              <w:rPr>
                <w:rFonts w:ascii="黑体" w:hAnsi="黑体" w:eastAsia="黑体"/>
                <w:szCs w:val="21"/>
              </w:rPr>
              <w:t>1</w:t>
            </w:r>
          </w:p>
        </w:tc>
        <w:tc>
          <w:tcPr>
            <w:tcW w:w="770" w:type="pct"/>
            <w:shd w:val="clear" w:color="auto" w:fill="auto"/>
            <w:vAlign w:val="center"/>
          </w:tcPr>
          <w:p w14:paraId="63D6ECFD">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慈善</w:t>
            </w:r>
          </w:p>
        </w:tc>
        <w:tc>
          <w:tcPr>
            <w:tcW w:w="1449" w:type="pct"/>
            <w:shd w:val="clear" w:color="auto" w:fill="auto"/>
            <w:vAlign w:val="center"/>
          </w:tcPr>
          <w:p w14:paraId="51E4FF6C">
            <w:pPr>
              <w:topLinePunct/>
              <w:adjustRightInd w:val="0"/>
              <w:snapToGrid w:val="0"/>
              <w:spacing w:before="50" w:after="50" w:line="300" w:lineRule="auto"/>
              <w:jc w:val="center"/>
              <w:rPr>
                <w:rFonts w:ascii="宋体" w:hAnsi="宋体"/>
                <w:szCs w:val="21"/>
              </w:rPr>
            </w:pPr>
            <w:r>
              <w:rPr>
                <w:rFonts w:hint="eastAsia" w:ascii="宋体" w:hAnsi="宋体"/>
                <w:szCs w:val="21"/>
              </w:rPr>
              <w:t>慈善捐赠</w:t>
            </w:r>
          </w:p>
        </w:tc>
        <w:tc>
          <w:tcPr>
            <w:tcW w:w="1244" w:type="pct"/>
            <w:shd w:val="clear" w:color="auto" w:fill="auto"/>
            <w:vAlign w:val="center"/>
          </w:tcPr>
          <w:p w14:paraId="51384FAF">
            <w:pPr>
              <w:topLinePunct/>
              <w:adjustRightInd w:val="0"/>
              <w:snapToGrid w:val="0"/>
              <w:spacing w:before="50" w:after="50" w:line="300" w:lineRule="auto"/>
              <w:jc w:val="left"/>
              <w:rPr>
                <w:rFonts w:ascii="宋体" w:hAnsi="宋体"/>
                <w:szCs w:val="21"/>
              </w:rPr>
            </w:pPr>
            <w:r>
              <w:rPr>
                <w:rFonts w:hint="eastAsia" w:ascii="宋体" w:hAnsi="宋体"/>
                <w:szCs w:val="21"/>
              </w:rPr>
              <w:t>慈善总会捐款</w:t>
            </w:r>
          </w:p>
        </w:tc>
        <w:tc>
          <w:tcPr>
            <w:tcW w:w="1000" w:type="pct"/>
            <w:shd w:val="clear" w:color="auto" w:fill="auto"/>
            <w:vAlign w:val="center"/>
          </w:tcPr>
          <w:p w14:paraId="3B4B48F3">
            <w:pPr>
              <w:topLinePunct/>
              <w:adjustRightInd w:val="0"/>
              <w:snapToGrid w:val="0"/>
              <w:spacing w:before="50" w:after="50" w:line="300" w:lineRule="auto"/>
              <w:jc w:val="center"/>
              <w:rPr>
                <w:rFonts w:ascii="宋体" w:hAnsi="宋体"/>
                <w:szCs w:val="21"/>
              </w:rPr>
            </w:pPr>
            <w:r>
              <w:rPr>
                <w:rFonts w:hint="eastAsia" w:ascii="宋体" w:hAnsi="宋体"/>
                <w:szCs w:val="21"/>
              </w:rPr>
              <w:t>100万元</w:t>
            </w:r>
          </w:p>
        </w:tc>
      </w:tr>
      <w:tr w14:paraId="017E2A0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537" w:type="pct"/>
            <w:shd w:val="clear" w:color="auto" w:fill="auto"/>
            <w:vAlign w:val="center"/>
          </w:tcPr>
          <w:p w14:paraId="61D0BE36">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2</w:t>
            </w:r>
          </w:p>
        </w:tc>
        <w:tc>
          <w:tcPr>
            <w:tcW w:w="770" w:type="pct"/>
            <w:shd w:val="clear" w:color="auto" w:fill="auto"/>
            <w:vAlign w:val="center"/>
          </w:tcPr>
          <w:p w14:paraId="02056E82">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社会责任</w:t>
            </w:r>
          </w:p>
        </w:tc>
        <w:tc>
          <w:tcPr>
            <w:tcW w:w="1449" w:type="pct"/>
            <w:shd w:val="clear" w:color="auto" w:fill="auto"/>
            <w:vAlign w:val="center"/>
          </w:tcPr>
          <w:p w14:paraId="38AD3C63">
            <w:pPr>
              <w:topLinePunct/>
              <w:adjustRightInd w:val="0"/>
              <w:snapToGrid w:val="0"/>
              <w:spacing w:before="50" w:after="50" w:line="300" w:lineRule="auto"/>
              <w:jc w:val="center"/>
              <w:rPr>
                <w:rFonts w:ascii="宋体" w:hAnsi="宋体"/>
                <w:szCs w:val="21"/>
              </w:rPr>
            </w:pPr>
            <w:r>
              <w:rPr>
                <w:rFonts w:hint="eastAsia" w:ascii="宋体" w:hAnsi="宋体"/>
                <w:szCs w:val="21"/>
              </w:rPr>
              <w:t>助学教育</w:t>
            </w:r>
          </w:p>
        </w:tc>
        <w:tc>
          <w:tcPr>
            <w:tcW w:w="1244" w:type="pct"/>
            <w:shd w:val="clear" w:color="auto" w:fill="auto"/>
            <w:vAlign w:val="center"/>
          </w:tcPr>
          <w:p w14:paraId="458B54C9">
            <w:pPr>
              <w:topLinePunct/>
              <w:adjustRightInd w:val="0"/>
              <w:snapToGrid w:val="0"/>
              <w:spacing w:before="50" w:after="50" w:line="300" w:lineRule="auto"/>
              <w:jc w:val="left"/>
              <w:rPr>
                <w:rFonts w:ascii="宋体" w:hAnsi="宋体"/>
                <w:szCs w:val="21"/>
              </w:rPr>
            </w:pPr>
            <w:r>
              <w:rPr>
                <w:rFonts w:hint="eastAsia" w:ascii="宋体" w:hAnsi="宋体"/>
                <w:szCs w:val="21"/>
              </w:rPr>
              <w:t>捐赠学校</w:t>
            </w:r>
          </w:p>
        </w:tc>
        <w:tc>
          <w:tcPr>
            <w:tcW w:w="1000" w:type="pct"/>
            <w:shd w:val="clear" w:color="auto" w:fill="auto"/>
            <w:vAlign w:val="center"/>
          </w:tcPr>
          <w:p w14:paraId="0844C971">
            <w:pPr>
              <w:topLinePunct/>
              <w:adjustRightInd w:val="0"/>
              <w:snapToGrid w:val="0"/>
              <w:spacing w:before="50" w:after="50" w:line="300" w:lineRule="auto"/>
              <w:jc w:val="center"/>
              <w:rPr>
                <w:rFonts w:ascii="宋体" w:hAnsi="宋体"/>
                <w:szCs w:val="21"/>
              </w:rPr>
            </w:pPr>
            <w:r>
              <w:rPr>
                <w:rFonts w:hint="eastAsia" w:ascii="宋体" w:hAnsi="宋体"/>
                <w:szCs w:val="21"/>
                <w:lang w:val="en-US" w:eastAsia="zh-CN"/>
              </w:rPr>
              <w:t>100</w:t>
            </w:r>
            <w:r>
              <w:rPr>
                <w:rFonts w:hint="eastAsia" w:ascii="宋体" w:hAnsi="宋体"/>
                <w:szCs w:val="21"/>
              </w:rPr>
              <w:t>万元</w:t>
            </w:r>
          </w:p>
        </w:tc>
      </w:tr>
      <w:tr w14:paraId="50CAA0B1">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537" w:type="pct"/>
            <w:shd w:val="clear" w:color="auto" w:fill="auto"/>
            <w:vAlign w:val="center"/>
          </w:tcPr>
          <w:p w14:paraId="4CAF31D8">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3</w:t>
            </w:r>
          </w:p>
        </w:tc>
        <w:tc>
          <w:tcPr>
            <w:tcW w:w="770" w:type="pct"/>
            <w:shd w:val="clear" w:color="auto" w:fill="auto"/>
            <w:vAlign w:val="center"/>
          </w:tcPr>
          <w:p w14:paraId="647F993E">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社会责任</w:t>
            </w:r>
          </w:p>
        </w:tc>
        <w:tc>
          <w:tcPr>
            <w:tcW w:w="1449" w:type="pct"/>
            <w:shd w:val="clear" w:color="auto" w:fill="auto"/>
            <w:vAlign w:val="center"/>
          </w:tcPr>
          <w:p w14:paraId="252E42D5">
            <w:pPr>
              <w:topLinePunct/>
              <w:adjustRightInd w:val="0"/>
              <w:snapToGrid w:val="0"/>
              <w:spacing w:before="50" w:after="50" w:line="300" w:lineRule="auto"/>
              <w:jc w:val="center"/>
              <w:rPr>
                <w:rFonts w:hint="default" w:ascii="宋体" w:hAnsi="宋体" w:eastAsia="宋体"/>
                <w:szCs w:val="21"/>
                <w:lang w:val="en-US" w:eastAsia="zh-CN"/>
              </w:rPr>
            </w:pPr>
            <w:r>
              <w:rPr>
                <w:rFonts w:hint="eastAsia" w:ascii="宋体" w:hAnsi="宋体"/>
                <w:szCs w:val="21"/>
                <w:lang w:val="en-US" w:eastAsia="zh-CN"/>
              </w:rPr>
              <w:t>救助老人</w:t>
            </w:r>
          </w:p>
        </w:tc>
        <w:tc>
          <w:tcPr>
            <w:tcW w:w="1244" w:type="pct"/>
            <w:shd w:val="clear" w:color="auto" w:fill="auto"/>
            <w:vAlign w:val="center"/>
          </w:tcPr>
          <w:p w14:paraId="2C1C54BA">
            <w:pPr>
              <w:topLinePunct/>
              <w:adjustRightInd w:val="0"/>
              <w:snapToGrid w:val="0"/>
              <w:spacing w:before="50" w:after="50" w:line="300" w:lineRule="auto"/>
              <w:jc w:val="left"/>
              <w:rPr>
                <w:rFonts w:hint="default" w:ascii="宋体" w:hAnsi="宋体" w:eastAsia="宋体"/>
                <w:szCs w:val="21"/>
                <w:lang w:val="en-US" w:eastAsia="zh-CN"/>
              </w:rPr>
            </w:pPr>
            <w:r>
              <w:rPr>
                <w:rFonts w:hint="eastAsia" w:ascii="宋体" w:hAnsi="宋体"/>
                <w:szCs w:val="21"/>
                <w:lang w:val="en-US" w:eastAsia="zh-CN"/>
              </w:rPr>
              <w:t>救助老人</w:t>
            </w:r>
          </w:p>
        </w:tc>
        <w:tc>
          <w:tcPr>
            <w:tcW w:w="1000" w:type="pct"/>
            <w:shd w:val="clear" w:color="auto" w:fill="auto"/>
            <w:vAlign w:val="center"/>
          </w:tcPr>
          <w:p w14:paraId="1AEB03B8">
            <w:pPr>
              <w:topLinePunct/>
              <w:adjustRightInd w:val="0"/>
              <w:snapToGrid w:val="0"/>
              <w:spacing w:before="50" w:after="50" w:line="300" w:lineRule="auto"/>
              <w:jc w:val="center"/>
              <w:rPr>
                <w:rFonts w:hint="default" w:ascii="宋体" w:hAnsi="宋体" w:eastAsia="宋体"/>
                <w:szCs w:val="21"/>
                <w:lang w:val="en-US" w:eastAsia="zh-CN"/>
              </w:rPr>
            </w:pPr>
            <w:r>
              <w:rPr>
                <w:rFonts w:hint="eastAsia" w:ascii="宋体" w:hAnsi="宋体"/>
                <w:szCs w:val="21"/>
                <w:lang w:val="en-US" w:eastAsia="zh-CN"/>
              </w:rPr>
              <w:t>240万元</w:t>
            </w:r>
          </w:p>
        </w:tc>
      </w:tr>
      <w:tr w14:paraId="522A63F4">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4" w:hRule="atLeast"/>
        </w:trPr>
        <w:tc>
          <w:tcPr>
            <w:tcW w:w="537" w:type="pct"/>
            <w:shd w:val="clear" w:color="auto" w:fill="auto"/>
            <w:vAlign w:val="center"/>
          </w:tcPr>
          <w:p w14:paraId="2C67B159">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合计</w:t>
            </w:r>
          </w:p>
        </w:tc>
        <w:tc>
          <w:tcPr>
            <w:tcW w:w="770" w:type="pct"/>
            <w:shd w:val="clear" w:color="auto" w:fill="auto"/>
            <w:vAlign w:val="center"/>
          </w:tcPr>
          <w:p w14:paraId="49AB700F">
            <w:pPr>
              <w:topLinePunct/>
              <w:adjustRightInd w:val="0"/>
              <w:snapToGrid w:val="0"/>
              <w:spacing w:before="50" w:after="50" w:line="300" w:lineRule="auto"/>
              <w:jc w:val="center"/>
              <w:rPr>
                <w:rFonts w:ascii="黑体" w:hAnsi="黑体" w:eastAsia="黑体"/>
                <w:szCs w:val="21"/>
              </w:rPr>
            </w:pPr>
          </w:p>
        </w:tc>
        <w:tc>
          <w:tcPr>
            <w:tcW w:w="1449" w:type="pct"/>
            <w:shd w:val="clear" w:color="auto" w:fill="auto"/>
            <w:vAlign w:val="center"/>
          </w:tcPr>
          <w:p w14:paraId="05A043EF">
            <w:pPr>
              <w:topLinePunct/>
              <w:adjustRightInd w:val="0"/>
              <w:snapToGrid w:val="0"/>
              <w:spacing w:before="50" w:after="50" w:line="300" w:lineRule="auto"/>
              <w:jc w:val="center"/>
              <w:rPr>
                <w:rFonts w:ascii="宋体" w:hAnsi="宋体"/>
                <w:szCs w:val="21"/>
              </w:rPr>
            </w:pPr>
          </w:p>
        </w:tc>
        <w:tc>
          <w:tcPr>
            <w:tcW w:w="1244" w:type="pct"/>
            <w:shd w:val="clear" w:color="auto" w:fill="auto"/>
            <w:vAlign w:val="center"/>
          </w:tcPr>
          <w:p w14:paraId="25B1FA98">
            <w:pPr>
              <w:topLinePunct/>
              <w:adjustRightInd w:val="0"/>
              <w:snapToGrid w:val="0"/>
              <w:spacing w:before="50" w:after="50" w:line="300" w:lineRule="auto"/>
              <w:jc w:val="left"/>
              <w:rPr>
                <w:rFonts w:ascii="宋体" w:hAnsi="宋体"/>
                <w:szCs w:val="21"/>
              </w:rPr>
            </w:pPr>
          </w:p>
        </w:tc>
        <w:tc>
          <w:tcPr>
            <w:tcW w:w="1000" w:type="pct"/>
            <w:shd w:val="clear" w:color="auto" w:fill="auto"/>
            <w:vAlign w:val="center"/>
          </w:tcPr>
          <w:p w14:paraId="407DC2FE">
            <w:pPr>
              <w:topLinePunct/>
              <w:adjustRightInd w:val="0"/>
              <w:snapToGrid w:val="0"/>
              <w:spacing w:before="50" w:after="50" w:line="300" w:lineRule="auto"/>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440</w:t>
            </w:r>
            <w:r>
              <w:rPr>
                <w:rFonts w:hint="eastAsia" w:ascii="宋体" w:hAnsi="宋体"/>
                <w:szCs w:val="21"/>
              </w:rPr>
              <w:t>万元</w:t>
            </w:r>
          </w:p>
        </w:tc>
      </w:tr>
    </w:tbl>
    <w:p w14:paraId="636E7473">
      <w:pPr>
        <w:spacing w:line="360" w:lineRule="auto"/>
        <w:ind w:firstLine="480" w:firstLineChars="200"/>
        <w:rPr>
          <w:rFonts w:ascii="宋体" w:cs="宋体"/>
          <w:color w:val="000000"/>
          <w:kern w:val="0"/>
          <w:sz w:val="24"/>
          <w:szCs w:val="24"/>
        </w:rPr>
      </w:pPr>
    </w:p>
    <w:p w14:paraId="66D872C5">
      <w:pPr>
        <w:rPr>
          <w:rFonts w:ascii="宋体" w:cs="宋体"/>
          <w:color w:val="000000"/>
          <w:kern w:val="0"/>
          <w:sz w:val="24"/>
          <w:szCs w:val="24"/>
        </w:rPr>
      </w:pPr>
      <w:r>
        <w:rPr>
          <w:rFonts w:hint="eastAsia" w:ascii="宋体" w:cs="宋体"/>
          <w:color w:val="000000"/>
          <w:kern w:val="0"/>
          <w:sz w:val="24"/>
          <w:szCs w:val="24"/>
        </w:rPr>
        <w:t>(2) 经济效益</w:t>
      </w:r>
    </w:p>
    <w:p w14:paraId="77C5AC89">
      <w:pPr>
        <w:rPr>
          <w:rFonts w:ascii="宋体" w:cs="宋体"/>
          <w:b/>
          <w:sz w:val="23"/>
          <w:szCs w:val="23"/>
        </w:rPr>
      </w:pPr>
    </w:p>
    <w:tbl>
      <w:tblPr>
        <w:tblStyle w:val="37"/>
        <w:tblW w:w="8931" w:type="dxa"/>
        <w:tblInd w:w="0" w:type="dxa"/>
        <w:tblBorders>
          <w:top w:val="single" w:color="4E6127" w:sz="4" w:space="0"/>
          <w:left w:val="single" w:color="4E6127" w:sz="4" w:space="0"/>
          <w:bottom w:val="single" w:color="4E6127" w:sz="4" w:space="0"/>
          <w:right w:val="single" w:color="4E6127" w:sz="4" w:space="0"/>
          <w:insideH w:val="single" w:color="4E6127" w:sz="4" w:space="0"/>
          <w:insideV w:val="single" w:color="4E6127" w:sz="4" w:space="0"/>
        </w:tblBorders>
        <w:tblLayout w:type="autofit"/>
        <w:tblCellMar>
          <w:top w:w="0" w:type="dxa"/>
          <w:left w:w="108" w:type="dxa"/>
          <w:bottom w:w="0" w:type="dxa"/>
          <w:right w:w="108" w:type="dxa"/>
        </w:tblCellMar>
      </w:tblPr>
      <w:tblGrid>
        <w:gridCol w:w="2723"/>
        <w:gridCol w:w="6208"/>
      </w:tblGrid>
      <w:tr w14:paraId="79479FC3">
        <w:tblPrEx>
          <w:tblBorders>
            <w:top w:val="single" w:color="4E6127" w:sz="4" w:space="0"/>
            <w:left w:val="single" w:color="4E6127" w:sz="4" w:space="0"/>
            <w:bottom w:val="single" w:color="4E6127" w:sz="4" w:space="0"/>
            <w:right w:val="single" w:color="4E6127" w:sz="4" w:space="0"/>
            <w:insideH w:val="single" w:color="4E6127" w:sz="4" w:space="0"/>
            <w:insideV w:val="single" w:color="4E6127" w:sz="4" w:space="0"/>
          </w:tblBorders>
          <w:tblCellMar>
            <w:top w:w="0" w:type="dxa"/>
            <w:left w:w="108" w:type="dxa"/>
            <w:bottom w:w="0" w:type="dxa"/>
            <w:right w:w="108" w:type="dxa"/>
          </w:tblCellMar>
        </w:tblPrEx>
        <w:trPr>
          <w:trHeight w:val="862" w:hRule="atLeast"/>
        </w:trPr>
        <w:tc>
          <w:tcPr>
            <w:tcW w:w="2723" w:type="dxa"/>
            <w:shd w:val="clear" w:color="auto" w:fill="548DD4" w:themeFill="text2" w:themeFillTint="99"/>
            <w:vAlign w:val="center"/>
          </w:tcPr>
          <w:p w14:paraId="5DEF0F33">
            <w:pPr>
              <w:topLinePunct/>
              <w:adjustRightInd w:val="0"/>
              <w:snapToGrid w:val="0"/>
              <w:spacing w:before="50" w:after="50" w:line="300" w:lineRule="auto"/>
              <w:jc w:val="center"/>
              <w:rPr>
                <w:rFonts w:ascii="黑体" w:hAnsi="黑体" w:eastAsia="黑体"/>
                <w:b/>
                <w:color w:val="FFFFFF" w:themeColor="background1"/>
                <w:szCs w:val="21"/>
              </w:rPr>
            </w:pPr>
            <w:r>
              <w:rPr>
                <w:rFonts w:ascii="黑体" w:hAnsi="黑体" w:eastAsia="黑体"/>
                <w:b/>
                <w:color w:val="FFFFFF" w:themeColor="background1"/>
                <w:szCs w:val="21"/>
              </w:rPr>
              <w:t>指标名称</w:t>
            </w:r>
          </w:p>
        </w:tc>
        <w:tc>
          <w:tcPr>
            <w:tcW w:w="6208" w:type="dxa"/>
            <w:shd w:val="clear" w:color="auto" w:fill="548DD4" w:themeFill="text2" w:themeFillTint="99"/>
            <w:vAlign w:val="center"/>
          </w:tcPr>
          <w:p w14:paraId="3471A0B3">
            <w:pPr>
              <w:topLinePunct/>
              <w:adjustRightInd w:val="0"/>
              <w:snapToGrid w:val="0"/>
              <w:spacing w:before="50" w:after="50" w:line="300" w:lineRule="auto"/>
              <w:jc w:val="center"/>
              <w:rPr>
                <w:rFonts w:ascii="黑体" w:hAnsi="黑体" w:eastAsia="黑体"/>
                <w:b/>
                <w:color w:val="FFFFFF" w:themeColor="background1"/>
                <w:szCs w:val="21"/>
              </w:rPr>
            </w:pPr>
            <w:r>
              <w:rPr>
                <w:rFonts w:hint="eastAsia" w:ascii="黑体" w:hAnsi="黑体" w:eastAsia="黑体"/>
                <w:b/>
                <w:color w:val="FFFFFF" w:themeColor="background1"/>
                <w:szCs w:val="21"/>
              </w:rPr>
              <w:t>20</w:t>
            </w:r>
            <w:r>
              <w:rPr>
                <w:rFonts w:ascii="黑体" w:hAnsi="黑体" w:eastAsia="黑体"/>
                <w:b/>
                <w:color w:val="FFFFFF" w:themeColor="background1"/>
                <w:szCs w:val="21"/>
              </w:rPr>
              <w:t>2</w:t>
            </w:r>
            <w:r>
              <w:rPr>
                <w:rFonts w:hint="eastAsia" w:ascii="黑体" w:hAnsi="黑体" w:eastAsia="黑体"/>
                <w:b/>
                <w:color w:val="FFFFFF" w:themeColor="background1"/>
                <w:szCs w:val="21"/>
                <w:lang w:val="en-US" w:eastAsia="zh-CN"/>
              </w:rPr>
              <w:t>5</w:t>
            </w:r>
            <w:r>
              <w:rPr>
                <w:rFonts w:hint="eastAsia" w:ascii="黑体" w:hAnsi="黑体" w:eastAsia="黑体"/>
                <w:b/>
                <w:color w:val="FFFFFF" w:themeColor="background1"/>
                <w:szCs w:val="21"/>
              </w:rPr>
              <w:t>年效益</w:t>
            </w:r>
          </w:p>
        </w:tc>
      </w:tr>
      <w:tr w14:paraId="56DAD905">
        <w:tblPrEx>
          <w:tblBorders>
            <w:top w:val="single" w:color="4E6127" w:sz="4" w:space="0"/>
            <w:left w:val="single" w:color="4E6127" w:sz="4" w:space="0"/>
            <w:bottom w:val="single" w:color="4E6127" w:sz="4" w:space="0"/>
            <w:right w:val="single" w:color="4E6127" w:sz="4" w:space="0"/>
            <w:insideH w:val="single" w:color="4E6127" w:sz="4" w:space="0"/>
            <w:insideV w:val="single" w:color="4E6127" w:sz="4" w:space="0"/>
          </w:tblBorders>
          <w:tblCellMar>
            <w:top w:w="0" w:type="dxa"/>
            <w:left w:w="108" w:type="dxa"/>
            <w:bottom w:w="0" w:type="dxa"/>
            <w:right w:w="108" w:type="dxa"/>
          </w:tblCellMar>
        </w:tblPrEx>
        <w:trPr>
          <w:trHeight w:val="650" w:hRule="atLeast"/>
        </w:trPr>
        <w:tc>
          <w:tcPr>
            <w:tcW w:w="2723" w:type="dxa"/>
            <w:shd w:val="clear" w:color="auto" w:fill="auto"/>
            <w:vAlign w:val="center"/>
          </w:tcPr>
          <w:p w14:paraId="61130BA4">
            <w:pPr>
              <w:widowControl/>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销售收入（万元）</w:t>
            </w:r>
          </w:p>
        </w:tc>
        <w:tc>
          <w:tcPr>
            <w:tcW w:w="6208" w:type="dxa"/>
            <w:shd w:val="clear" w:color="auto" w:fill="auto"/>
            <w:vAlign w:val="center"/>
          </w:tcPr>
          <w:p w14:paraId="2132D2C6">
            <w:pPr>
              <w:widowControl/>
              <w:spacing w:line="219" w:lineRule="atLeast"/>
              <w:jc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eastAsiaTheme="minorEastAsia"/>
                <w:color w:val="000000"/>
                <w:szCs w:val="21"/>
                <w:lang w:val="en-US" w:eastAsia="zh-CN"/>
              </w:rPr>
              <w:t>292958</w:t>
            </w:r>
          </w:p>
        </w:tc>
      </w:tr>
      <w:tr w14:paraId="107F65D9">
        <w:tblPrEx>
          <w:tblBorders>
            <w:top w:val="single" w:color="4E6127" w:sz="4" w:space="0"/>
            <w:left w:val="single" w:color="4E6127" w:sz="4" w:space="0"/>
            <w:bottom w:val="single" w:color="4E6127" w:sz="4" w:space="0"/>
            <w:right w:val="single" w:color="4E6127" w:sz="4" w:space="0"/>
            <w:insideH w:val="single" w:color="4E6127" w:sz="4" w:space="0"/>
            <w:insideV w:val="single" w:color="4E6127" w:sz="4" w:space="0"/>
          </w:tblBorders>
          <w:tblCellMar>
            <w:top w:w="0" w:type="dxa"/>
            <w:left w:w="108" w:type="dxa"/>
            <w:bottom w:w="0" w:type="dxa"/>
            <w:right w:w="108" w:type="dxa"/>
          </w:tblCellMar>
        </w:tblPrEx>
        <w:trPr>
          <w:trHeight w:val="650" w:hRule="atLeast"/>
        </w:trPr>
        <w:tc>
          <w:tcPr>
            <w:tcW w:w="2723" w:type="dxa"/>
            <w:shd w:val="clear" w:color="auto" w:fill="auto"/>
            <w:vAlign w:val="center"/>
          </w:tcPr>
          <w:p w14:paraId="2A589DD1">
            <w:pPr>
              <w:widowControl/>
              <w:jc w:val="center"/>
              <w:rPr>
                <w:rFonts w:ascii="Times New Roman" w:hAnsi="Times New Roman" w:cs="Times New Roman" w:eastAsiaTheme="minorEastAsia"/>
                <w:color w:val="000000"/>
                <w:kern w:val="0"/>
                <w:szCs w:val="21"/>
              </w:rPr>
            </w:pPr>
            <w:r>
              <w:rPr>
                <w:rFonts w:hint="eastAsia" w:ascii="Times New Roman" w:hAnsi="Times New Roman" w:cs="Times New Roman" w:eastAsiaTheme="minorEastAsia"/>
                <w:color w:val="000000"/>
                <w:kern w:val="0"/>
                <w:szCs w:val="21"/>
              </w:rPr>
              <w:t>利润</w:t>
            </w:r>
            <w:r>
              <w:rPr>
                <w:rFonts w:ascii="Times New Roman" w:hAnsi="Times New Roman" w:cs="Times New Roman" w:eastAsiaTheme="minorEastAsia"/>
                <w:color w:val="000000"/>
                <w:kern w:val="0"/>
                <w:szCs w:val="21"/>
              </w:rPr>
              <w:t>（万元）</w:t>
            </w:r>
          </w:p>
        </w:tc>
        <w:tc>
          <w:tcPr>
            <w:tcW w:w="6208" w:type="dxa"/>
            <w:shd w:val="clear" w:color="auto" w:fill="auto"/>
            <w:vAlign w:val="center"/>
          </w:tcPr>
          <w:p w14:paraId="2EB63159">
            <w:pPr>
              <w:widowControl/>
              <w:spacing w:line="219" w:lineRule="atLeast"/>
              <w:jc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eastAsiaTheme="minorEastAsia"/>
                <w:color w:val="000000"/>
                <w:szCs w:val="21"/>
                <w:lang w:val="en-US" w:eastAsia="zh-CN"/>
              </w:rPr>
              <w:t>47829</w:t>
            </w:r>
          </w:p>
        </w:tc>
      </w:tr>
    </w:tbl>
    <w:p w14:paraId="4CF77A85">
      <w:pPr>
        <w:rPr>
          <w:rFonts w:ascii="宋体" w:cs="宋体"/>
          <w:b/>
          <w:sz w:val="23"/>
          <w:szCs w:val="23"/>
        </w:rPr>
      </w:pPr>
    </w:p>
    <w:p w14:paraId="208AA8A9">
      <w:pPr>
        <w:rPr>
          <w:rFonts w:ascii="宋体" w:cs="宋体"/>
          <w:b/>
          <w:sz w:val="23"/>
          <w:szCs w:val="23"/>
        </w:rPr>
      </w:pPr>
      <w:r>
        <w:rPr>
          <w:rFonts w:hint="eastAsia" w:ascii="宋体" w:cs="宋体"/>
          <w:b/>
          <w:sz w:val="23"/>
          <w:szCs w:val="23"/>
        </w:rPr>
        <w:t>(3) 技术开发</w:t>
      </w:r>
    </w:p>
    <w:p w14:paraId="2127B5BF">
      <w:pPr>
        <w:spacing w:line="360" w:lineRule="auto"/>
        <w:ind w:firstLine="480" w:firstLineChars="200"/>
        <w:rPr>
          <w:sz w:val="24"/>
          <w:szCs w:val="24"/>
        </w:rPr>
      </w:pPr>
      <w:r>
        <w:rPr>
          <w:rFonts w:hint="eastAsia" w:ascii="宋体"/>
          <w:sz w:val="24"/>
          <w:szCs w:val="24"/>
        </w:rPr>
        <w:t>公司已制定技术创新战略及实施计划，实施差异化技术创新。公司高层积极引进国内优秀行业团队，提高资金保障，已取得国内领先的技术优势，</w:t>
      </w:r>
      <w:r>
        <w:rPr>
          <w:rFonts w:hint="eastAsia" w:ascii="宋体" w:hAnsi="宋体"/>
          <w:sz w:val="24"/>
          <w:szCs w:val="24"/>
        </w:rPr>
        <w:t>公司已被认定为</w:t>
      </w:r>
      <w:r>
        <w:rPr>
          <w:rFonts w:hint="eastAsia" w:ascii="宋体"/>
          <w:sz w:val="24"/>
          <w:szCs w:val="24"/>
        </w:rPr>
        <w:t>国家高新技术企业</w:t>
      </w:r>
      <w:r>
        <w:rPr>
          <w:rFonts w:hint="eastAsia" w:ascii="宋体" w:hAnsi="宋体"/>
          <w:sz w:val="24"/>
          <w:szCs w:val="24"/>
        </w:rPr>
        <w:t>，</w:t>
      </w:r>
      <w:r>
        <w:rPr>
          <w:rFonts w:hint="eastAsia" w:ascii="宋体"/>
          <w:sz w:val="24"/>
          <w:szCs w:val="24"/>
        </w:rPr>
        <w:t>近3年来，公司获得40余项国家专利等科技成果，与先进企业和科研机构合作，及时引进或开发行业最前沿的技术。</w:t>
      </w:r>
    </w:p>
    <w:p w14:paraId="723498AC">
      <w:pPr>
        <w:spacing w:line="360" w:lineRule="auto"/>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202</w:t>
      </w:r>
      <w:r>
        <w:rPr>
          <w:rFonts w:hint="eastAsia" w:ascii="Times New Roman" w:hAnsi="Times New Roman" w:cs="Times New Roman"/>
          <w:b/>
          <w:sz w:val="24"/>
          <w:szCs w:val="24"/>
          <w:lang w:val="en-US" w:eastAsia="zh-CN"/>
        </w:rPr>
        <w:t>5</w:t>
      </w:r>
      <w:r>
        <w:rPr>
          <w:rFonts w:ascii="Times New Roman" w:hAnsi="Times New Roman" w:cs="Times New Roman"/>
          <w:b/>
          <w:sz w:val="24"/>
          <w:szCs w:val="24"/>
        </w:rPr>
        <w:t>年研发投入和知识产权</w:t>
      </w:r>
      <w:bookmarkEnd w:id="7"/>
      <w:bookmarkEnd w:id="8"/>
      <w:bookmarkStart w:id="9" w:name="_Toc451610900"/>
      <w:bookmarkStart w:id="10" w:name="_Toc451610993"/>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51"/>
        <w:gridCol w:w="4297"/>
      </w:tblGrid>
      <w:tr w14:paraId="434B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151" w:type="dxa"/>
            <w:shd w:val="clear" w:color="auto" w:fill="548DD4" w:themeFill="text2" w:themeFillTint="99"/>
          </w:tcPr>
          <w:p w14:paraId="5DDF185F">
            <w:pPr>
              <w:widowControl/>
              <w:spacing w:line="360" w:lineRule="auto"/>
              <w:jc w:val="center"/>
              <w:rPr>
                <w:rFonts w:ascii="Times New Roman" w:hAnsi="Times New Roman" w:cs="Times New Roman"/>
                <w:b/>
                <w:color w:val="FFFFFF" w:themeColor="background1"/>
                <w:kern w:val="0"/>
                <w:szCs w:val="21"/>
              </w:rPr>
            </w:pPr>
            <w:r>
              <w:rPr>
                <w:rFonts w:ascii="Times New Roman" w:hAnsi="Times New Roman" w:cs="Times New Roman"/>
                <w:b/>
                <w:color w:val="FFFFFF" w:themeColor="background1"/>
                <w:kern w:val="0"/>
                <w:szCs w:val="21"/>
              </w:rPr>
              <w:t>项目</w:t>
            </w:r>
          </w:p>
        </w:tc>
        <w:tc>
          <w:tcPr>
            <w:tcW w:w="4297" w:type="dxa"/>
            <w:shd w:val="clear" w:color="auto" w:fill="548DD4" w:themeFill="text2" w:themeFillTint="99"/>
          </w:tcPr>
          <w:p w14:paraId="4083CDC3">
            <w:pPr>
              <w:widowControl/>
              <w:spacing w:line="360" w:lineRule="auto"/>
              <w:jc w:val="center"/>
              <w:rPr>
                <w:rFonts w:hint="eastAsia" w:ascii="Times New Roman" w:hAnsi="Times New Roman" w:eastAsia="宋体" w:cs="Times New Roman"/>
                <w:b/>
                <w:color w:val="FFFFFF" w:themeColor="background1"/>
                <w:szCs w:val="21"/>
                <w:lang w:val="en-US" w:eastAsia="zh-CN"/>
              </w:rPr>
            </w:pPr>
            <w:r>
              <w:rPr>
                <w:rFonts w:ascii="Times New Roman" w:hAnsi="Times New Roman" w:cs="Times New Roman"/>
                <w:b/>
                <w:color w:val="FFFFFF" w:themeColor="background1"/>
                <w:szCs w:val="21"/>
              </w:rPr>
              <w:t>202</w:t>
            </w:r>
            <w:r>
              <w:rPr>
                <w:rFonts w:hint="eastAsia" w:ascii="Times New Roman" w:hAnsi="Times New Roman" w:cs="Times New Roman"/>
                <w:b/>
                <w:color w:val="FFFFFF" w:themeColor="background1"/>
                <w:szCs w:val="21"/>
                <w:lang w:val="en-US" w:eastAsia="zh-CN"/>
              </w:rPr>
              <w:t>5</w:t>
            </w:r>
          </w:p>
        </w:tc>
      </w:tr>
      <w:tr w14:paraId="1173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151" w:type="dxa"/>
          </w:tcPr>
          <w:p w14:paraId="60833F5F">
            <w:pPr>
              <w:widowControl/>
              <w:spacing w:line="360" w:lineRule="auto"/>
              <w:jc w:val="center"/>
              <w:rPr>
                <w:rFonts w:ascii="Times New Roman" w:hAnsi="Times New Roman" w:cs="Times New Roman"/>
                <w:szCs w:val="21"/>
              </w:rPr>
            </w:pPr>
            <w:r>
              <w:rPr>
                <w:rFonts w:ascii="Times New Roman" w:hAnsi="Times New Roman" w:cs="Times New Roman"/>
                <w:szCs w:val="21"/>
              </w:rPr>
              <w:t>研发投入（万元）</w:t>
            </w:r>
          </w:p>
        </w:tc>
        <w:tc>
          <w:tcPr>
            <w:tcW w:w="4297" w:type="dxa"/>
            <w:vAlign w:val="center"/>
          </w:tcPr>
          <w:p w14:paraId="184FCBCF">
            <w:pPr>
              <w:widowControl/>
              <w:spacing w:line="360" w:lineRule="auto"/>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rPr>
              <w:t xml:space="preserve"> </w:t>
            </w:r>
            <w:r>
              <w:rPr>
                <w:rFonts w:hint="eastAsia" w:ascii="Times New Roman" w:hAnsi="Times New Roman" w:cs="Times New Roman"/>
                <w:color w:val="000000"/>
                <w:szCs w:val="21"/>
                <w:lang w:val="en-US" w:eastAsia="zh-CN"/>
              </w:rPr>
              <w:t>12017</w:t>
            </w:r>
          </w:p>
        </w:tc>
      </w:tr>
      <w:tr w14:paraId="38057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4151" w:type="dxa"/>
          </w:tcPr>
          <w:p w14:paraId="64457146">
            <w:pPr>
              <w:widowControl/>
              <w:spacing w:line="360" w:lineRule="auto"/>
              <w:jc w:val="center"/>
              <w:rPr>
                <w:rFonts w:ascii="Times New Roman" w:hAnsi="Times New Roman" w:cs="Times New Roman"/>
                <w:szCs w:val="21"/>
              </w:rPr>
            </w:pPr>
            <w:r>
              <w:rPr>
                <w:rFonts w:ascii="Times New Roman" w:hAnsi="Times New Roman" w:cs="Times New Roman"/>
                <w:szCs w:val="21"/>
              </w:rPr>
              <w:t>销售额（万元）</w:t>
            </w:r>
          </w:p>
        </w:tc>
        <w:tc>
          <w:tcPr>
            <w:tcW w:w="4297" w:type="dxa"/>
            <w:vAlign w:val="center"/>
          </w:tcPr>
          <w:p w14:paraId="5279EB8B">
            <w:pPr>
              <w:widowControl/>
              <w:spacing w:line="360" w:lineRule="auto"/>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29258</w:t>
            </w:r>
          </w:p>
        </w:tc>
      </w:tr>
      <w:tr w14:paraId="70F4F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151" w:type="dxa"/>
          </w:tcPr>
          <w:p w14:paraId="165B5204">
            <w:pPr>
              <w:widowControl/>
              <w:spacing w:line="360" w:lineRule="auto"/>
              <w:jc w:val="center"/>
              <w:rPr>
                <w:rFonts w:ascii="Times New Roman" w:hAnsi="Times New Roman" w:cs="Times New Roman"/>
                <w:szCs w:val="21"/>
              </w:rPr>
            </w:pPr>
            <w:r>
              <w:rPr>
                <w:rFonts w:ascii="Times New Roman" w:hAnsi="Times New Roman" w:cs="Times New Roman"/>
                <w:szCs w:val="21"/>
              </w:rPr>
              <w:t>研发投入占比 %</w:t>
            </w:r>
          </w:p>
        </w:tc>
        <w:tc>
          <w:tcPr>
            <w:tcW w:w="4297" w:type="dxa"/>
            <w:vAlign w:val="center"/>
          </w:tcPr>
          <w:p w14:paraId="3382B6B0">
            <w:pPr>
              <w:widowControl/>
              <w:spacing w:line="360" w:lineRule="auto"/>
              <w:jc w:val="center"/>
              <w:rPr>
                <w:rFonts w:ascii="Times New Roman" w:hAnsi="Times New Roman" w:cs="Times New Roman"/>
                <w:color w:val="000000"/>
                <w:szCs w:val="21"/>
              </w:rPr>
            </w:pPr>
            <w:r>
              <w:rPr>
                <w:rFonts w:hint="eastAsia" w:ascii="Times New Roman" w:hAnsi="Times New Roman" w:cs="Times New Roman"/>
                <w:color w:val="000000"/>
                <w:szCs w:val="21"/>
                <w:lang w:val="en-US" w:eastAsia="zh-CN"/>
              </w:rPr>
              <w:t>4.10</w:t>
            </w:r>
            <w:r>
              <w:rPr>
                <w:rFonts w:hint="eastAsia" w:ascii="Times New Roman" w:hAnsi="Times New Roman" w:cs="Times New Roman"/>
                <w:color w:val="000000"/>
                <w:szCs w:val="21"/>
              </w:rPr>
              <w:t>%</w:t>
            </w:r>
          </w:p>
        </w:tc>
      </w:tr>
      <w:tr w14:paraId="2811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151" w:type="dxa"/>
            <w:vAlign w:val="center"/>
          </w:tcPr>
          <w:p w14:paraId="3D56B22F">
            <w:pPr>
              <w:widowControl/>
              <w:jc w:val="center"/>
              <w:rPr>
                <w:rFonts w:ascii="Times New Roman" w:hAnsi="Times New Roman" w:cs="Times New Roman" w:eastAsiaTheme="minorEastAsia"/>
                <w:color w:val="000000"/>
                <w:kern w:val="0"/>
                <w:szCs w:val="21"/>
              </w:rPr>
            </w:pPr>
            <w:r>
              <w:rPr>
                <w:rFonts w:hint="eastAsia" w:ascii="Times New Roman" w:hAnsi="Times New Roman" w:cs="Times New Roman" w:eastAsiaTheme="minorEastAsia"/>
                <w:color w:val="000000"/>
                <w:kern w:val="0"/>
                <w:szCs w:val="21"/>
              </w:rPr>
              <w:t>利润</w:t>
            </w:r>
            <w:r>
              <w:rPr>
                <w:rFonts w:ascii="Times New Roman" w:hAnsi="Times New Roman" w:cs="Times New Roman" w:eastAsiaTheme="minorEastAsia"/>
                <w:color w:val="000000"/>
                <w:kern w:val="0"/>
                <w:szCs w:val="21"/>
              </w:rPr>
              <w:t>（万元）</w:t>
            </w:r>
          </w:p>
        </w:tc>
        <w:tc>
          <w:tcPr>
            <w:tcW w:w="4297" w:type="dxa"/>
            <w:vAlign w:val="center"/>
          </w:tcPr>
          <w:p w14:paraId="629AA3A0">
            <w:pPr>
              <w:widowControl/>
              <w:spacing w:line="219" w:lineRule="atLeast"/>
              <w:jc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eastAsiaTheme="minorEastAsia"/>
                <w:color w:val="000000"/>
                <w:szCs w:val="21"/>
                <w:lang w:val="en-US" w:eastAsia="zh-CN"/>
              </w:rPr>
              <w:t>47828</w:t>
            </w:r>
          </w:p>
        </w:tc>
      </w:tr>
      <w:bookmarkEnd w:id="9"/>
      <w:bookmarkEnd w:id="10"/>
    </w:tbl>
    <w:p w14:paraId="1D81CD8E">
      <w:pPr>
        <w:widowControl/>
        <w:jc w:val="left"/>
        <w:rPr>
          <w:rFonts w:ascii="宋体" w:cs="Helvetica"/>
          <w:b/>
          <w:bCs/>
          <w:color w:val="000000"/>
          <w:kern w:val="0"/>
          <w:sz w:val="24"/>
          <w:szCs w:val="24"/>
        </w:rPr>
      </w:pPr>
    </w:p>
    <w:p w14:paraId="3CB2097A">
      <w:pPr>
        <w:rPr>
          <w:rFonts w:ascii="宋体" w:cs="宋体"/>
          <w:b/>
          <w:sz w:val="23"/>
          <w:szCs w:val="23"/>
        </w:rPr>
      </w:pPr>
      <w:r>
        <w:rPr>
          <w:rFonts w:hint="eastAsia" w:ascii="宋体" w:cs="宋体"/>
          <w:b/>
          <w:sz w:val="23"/>
          <w:szCs w:val="23"/>
        </w:rPr>
        <w:t>(</w:t>
      </w:r>
      <w:r>
        <w:rPr>
          <w:rFonts w:ascii="宋体" w:cs="宋体"/>
          <w:b/>
          <w:sz w:val="23"/>
          <w:szCs w:val="23"/>
        </w:rPr>
        <w:t>4</w:t>
      </w:r>
      <w:r>
        <w:rPr>
          <w:rFonts w:hint="eastAsia" w:ascii="宋体" w:cs="宋体"/>
          <w:b/>
          <w:sz w:val="23"/>
          <w:szCs w:val="23"/>
        </w:rPr>
        <w:t>) 社会荣誉</w:t>
      </w:r>
    </w:p>
    <w:p w14:paraId="314C1E2A">
      <w:pPr>
        <w:numPr>
          <w:ilvl w:val="0"/>
          <w:numId w:val="2"/>
        </w:numPr>
        <w:rPr>
          <w:sz w:val="24"/>
          <w:szCs w:val="24"/>
        </w:rPr>
      </w:pPr>
      <w:r>
        <w:rPr>
          <w:rFonts w:hint="eastAsia"/>
          <w:sz w:val="24"/>
          <w:szCs w:val="24"/>
        </w:rPr>
        <w:t>浙江省三星级企业</w:t>
      </w:r>
    </w:p>
    <w:p w14:paraId="5CC6EEEE">
      <w:pPr>
        <w:rPr>
          <w:sz w:val="24"/>
          <w:szCs w:val="24"/>
        </w:rPr>
      </w:pPr>
      <w:r>
        <w:rPr>
          <w:rFonts w:hint="eastAsia"/>
          <w:sz w:val="24"/>
          <w:szCs w:val="24"/>
        </w:rPr>
        <w:t>——浙江华川实业集团有限公司（1999年）（无证书）</w:t>
      </w:r>
    </w:p>
    <w:p w14:paraId="43986294">
      <w:pPr>
        <w:numPr>
          <w:ilvl w:val="0"/>
          <w:numId w:val="2"/>
        </w:numPr>
        <w:rPr>
          <w:sz w:val="24"/>
          <w:szCs w:val="24"/>
        </w:rPr>
      </w:pPr>
      <w:r>
        <w:rPr>
          <w:rFonts w:hint="eastAsia"/>
          <w:sz w:val="24"/>
          <w:szCs w:val="24"/>
        </w:rPr>
        <w:t>全国500强</w:t>
      </w:r>
    </w:p>
    <w:p w14:paraId="2006695B">
      <w:pPr>
        <w:rPr>
          <w:sz w:val="24"/>
          <w:szCs w:val="24"/>
        </w:rPr>
      </w:pPr>
      <w:r>
        <w:rPr>
          <w:rFonts w:hint="eastAsia"/>
          <w:sz w:val="24"/>
          <w:szCs w:val="24"/>
        </w:rPr>
        <w:t>——浙江华川实业集团有限公司（2003年）（无证书）</w:t>
      </w:r>
    </w:p>
    <w:p w14:paraId="67233945">
      <w:pPr>
        <w:numPr>
          <w:ilvl w:val="0"/>
          <w:numId w:val="2"/>
        </w:numPr>
        <w:rPr>
          <w:sz w:val="24"/>
          <w:szCs w:val="24"/>
        </w:rPr>
      </w:pPr>
      <w:r>
        <w:rPr>
          <w:rFonts w:hint="eastAsia"/>
          <w:sz w:val="24"/>
          <w:szCs w:val="24"/>
        </w:rPr>
        <w:t>金华市诚信企业</w:t>
      </w:r>
    </w:p>
    <w:p w14:paraId="7145A3A0">
      <w:pPr>
        <w:rPr>
          <w:sz w:val="24"/>
          <w:szCs w:val="24"/>
        </w:rPr>
      </w:pPr>
      <w:r>
        <w:rPr>
          <w:rFonts w:hint="eastAsia"/>
          <w:sz w:val="24"/>
          <w:szCs w:val="24"/>
        </w:rPr>
        <w:t>——浙江华川实业集团有限公司（2005年）（无证书）</w:t>
      </w:r>
    </w:p>
    <w:p w14:paraId="3DC454E8">
      <w:pPr>
        <w:numPr>
          <w:ilvl w:val="0"/>
          <w:numId w:val="2"/>
        </w:numPr>
        <w:rPr>
          <w:sz w:val="24"/>
          <w:szCs w:val="24"/>
        </w:rPr>
      </w:pPr>
      <w:r>
        <w:rPr>
          <w:rFonts w:hint="eastAsia"/>
          <w:sz w:val="24"/>
          <w:szCs w:val="24"/>
        </w:rPr>
        <w:t>义乌市百强企业</w:t>
      </w:r>
    </w:p>
    <w:p w14:paraId="75A2329A">
      <w:pPr>
        <w:rPr>
          <w:sz w:val="24"/>
          <w:szCs w:val="24"/>
        </w:rPr>
      </w:pPr>
      <w:r>
        <w:rPr>
          <w:rFonts w:hint="eastAsia"/>
          <w:sz w:val="24"/>
          <w:szCs w:val="24"/>
        </w:rPr>
        <w:t>——浙江华川实业集团有限公司（2006年）（无证书）</w:t>
      </w:r>
    </w:p>
    <w:p w14:paraId="14630C18">
      <w:pPr>
        <w:numPr>
          <w:ilvl w:val="0"/>
          <w:numId w:val="2"/>
        </w:numPr>
        <w:rPr>
          <w:sz w:val="24"/>
          <w:szCs w:val="24"/>
        </w:rPr>
      </w:pPr>
      <w:r>
        <w:rPr>
          <w:rFonts w:hint="eastAsia"/>
          <w:sz w:val="24"/>
          <w:szCs w:val="24"/>
        </w:rPr>
        <w:t>义乌市工业企业“五十强”</w:t>
      </w:r>
    </w:p>
    <w:p w14:paraId="12297112">
      <w:pPr>
        <w:rPr>
          <w:sz w:val="24"/>
          <w:szCs w:val="24"/>
        </w:rPr>
      </w:pPr>
      <w:r>
        <w:rPr>
          <w:rFonts w:hint="eastAsia"/>
          <w:sz w:val="24"/>
          <w:szCs w:val="24"/>
        </w:rPr>
        <w:t>——浙江华川实业集团有限公司（2006年）（无证书）</w:t>
      </w:r>
    </w:p>
    <w:p w14:paraId="7F5414EC">
      <w:pPr>
        <w:numPr>
          <w:ilvl w:val="0"/>
          <w:numId w:val="2"/>
        </w:numPr>
        <w:rPr>
          <w:sz w:val="24"/>
          <w:szCs w:val="24"/>
        </w:rPr>
      </w:pPr>
      <w:r>
        <w:rPr>
          <w:rFonts w:hint="eastAsia"/>
          <w:sz w:val="24"/>
          <w:szCs w:val="24"/>
        </w:rPr>
        <w:t>义乌市安全生产知识竞赛一等奖</w:t>
      </w:r>
    </w:p>
    <w:p w14:paraId="45BC0C62">
      <w:pPr>
        <w:rPr>
          <w:sz w:val="24"/>
          <w:szCs w:val="24"/>
        </w:rPr>
      </w:pPr>
      <w:r>
        <w:rPr>
          <w:rFonts w:hint="eastAsia"/>
          <w:sz w:val="24"/>
          <w:szCs w:val="24"/>
        </w:rPr>
        <w:t>——浙江华川实业集团有限公司（2008年）</w:t>
      </w:r>
    </w:p>
    <w:p w14:paraId="6807216B">
      <w:pPr>
        <w:numPr>
          <w:ilvl w:val="0"/>
          <w:numId w:val="2"/>
        </w:numPr>
        <w:rPr>
          <w:sz w:val="24"/>
          <w:szCs w:val="24"/>
        </w:rPr>
      </w:pPr>
      <w:r>
        <w:rPr>
          <w:rFonts w:hint="eastAsia"/>
          <w:sz w:val="24"/>
          <w:szCs w:val="24"/>
        </w:rPr>
        <w:t>浙江省诚信企业</w:t>
      </w:r>
    </w:p>
    <w:p w14:paraId="2D700340">
      <w:pPr>
        <w:rPr>
          <w:sz w:val="24"/>
          <w:szCs w:val="24"/>
        </w:rPr>
      </w:pPr>
      <w:r>
        <w:rPr>
          <w:rFonts w:hint="eastAsia"/>
          <w:sz w:val="24"/>
          <w:szCs w:val="24"/>
        </w:rPr>
        <w:t>——浙江华川实业集团有限公司（2009年）（无证书）</w:t>
      </w:r>
    </w:p>
    <w:p w14:paraId="21EE5C32">
      <w:pPr>
        <w:numPr>
          <w:ilvl w:val="0"/>
          <w:numId w:val="2"/>
        </w:numPr>
        <w:rPr>
          <w:sz w:val="24"/>
          <w:szCs w:val="24"/>
        </w:rPr>
      </w:pPr>
      <w:r>
        <w:rPr>
          <w:rFonts w:hint="eastAsia"/>
          <w:sz w:val="24"/>
          <w:szCs w:val="24"/>
        </w:rPr>
        <w:t>金华市百佳守银行信用企业</w:t>
      </w:r>
    </w:p>
    <w:p w14:paraId="6B0CDB89">
      <w:pPr>
        <w:rPr>
          <w:sz w:val="24"/>
          <w:szCs w:val="24"/>
        </w:rPr>
      </w:pPr>
      <w:r>
        <w:rPr>
          <w:rFonts w:hint="eastAsia"/>
          <w:sz w:val="24"/>
          <w:szCs w:val="24"/>
        </w:rPr>
        <w:t>——浙江华川实业集团有限公司（2010年）</w:t>
      </w:r>
    </w:p>
    <w:p w14:paraId="40F87A00">
      <w:pPr>
        <w:numPr>
          <w:ilvl w:val="0"/>
          <w:numId w:val="2"/>
        </w:numPr>
        <w:rPr>
          <w:sz w:val="24"/>
          <w:szCs w:val="24"/>
        </w:rPr>
      </w:pPr>
      <w:r>
        <w:rPr>
          <w:rFonts w:hint="eastAsia"/>
          <w:sz w:val="24"/>
          <w:szCs w:val="24"/>
        </w:rPr>
        <w:t>义乌市协税护税先进单位</w:t>
      </w:r>
    </w:p>
    <w:p w14:paraId="63254F50">
      <w:pPr>
        <w:rPr>
          <w:sz w:val="24"/>
          <w:szCs w:val="24"/>
        </w:rPr>
      </w:pPr>
      <w:r>
        <w:rPr>
          <w:rFonts w:hint="eastAsia"/>
          <w:sz w:val="24"/>
          <w:szCs w:val="24"/>
        </w:rPr>
        <w:t>——浙江华川实业集团有限公司（2011年）</w:t>
      </w:r>
    </w:p>
    <w:p w14:paraId="3F8A29A2">
      <w:pPr>
        <w:numPr>
          <w:ilvl w:val="0"/>
          <w:numId w:val="2"/>
        </w:numPr>
        <w:rPr>
          <w:sz w:val="24"/>
          <w:szCs w:val="24"/>
        </w:rPr>
      </w:pPr>
      <w:r>
        <w:rPr>
          <w:rFonts w:hint="eastAsia"/>
          <w:sz w:val="24"/>
          <w:szCs w:val="24"/>
        </w:rPr>
        <w:t xml:space="preserve">浙江省工商企业信用AAA级“守合同重信用单位” </w:t>
      </w:r>
    </w:p>
    <w:p w14:paraId="4BD8D427">
      <w:pPr>
        <w:rPr>
          <w:sz w:val="24"/>
          <w:szCs w:val="24"/>
        </w:rPr>
      </w:pPr>
      <w:r>
        <w:rPr>
          <w:rFonts w:hint="eastAsia"/>
          <w:sz w:val="24"/>
          <w:szCs w:val="24"/>
        </w:rPr>
        <w:t>——浙江华川实业集团有限公司（2013年）</w:t>
      </w:r>
    </w:p>
    <w:p w14:paraId="79DE7C56">
      <w:pPr>
        <w:numPr>
          <w:ilvl w:val="0"/>
          <w:numId w:val="2"/>
        </w:numPr>
        <w:rPr>
          <w:sz w:val="24"/>
          <w:szCs w:val="24"/>
        </w:rPr>
      </w:pPr>
      <w:r>
        <w:rPr>
          <w:rFonts w:hint="eastAsia"/>
          <w:sz w:val="24"/>
          <w:szCs w:val="24"/>
        </w:rPr>
        <w:t>浙江省科技型中小企业证书</w:t>
      </w:r>
    </w:p>
    <w:p w14:paraId="5024ED52">
      <w:pPr>
        <w:rPr>
          <w:sz w:val="24"/>
          <w:szCs w:val="24"/>
        </w:rPr>
      </w:pPr>
      <w:r>
        <w:rPr>
          <w:rFonts w:hint="eastAsia"/>
          <w:sz w:val="24"/>
          <w:szCs w:val="24"/>
        </w:rPr>
        <w:t>——浙江华川实业集团有限公司（2014年）</w:t>
      </w:r>
    </w:p>
    <w:p w14:paraId="3035E73D">
      <w:pPr>
        <w:numPr>
          <w:ilvl w:val="0"/>
          <w:numId w:val="2"/>
        </w:numPr>
        <w:rPr>
          <w:sz w:val="24"/>
          <w:szCs w:val="24"/>
        </w:rPr>
      </w:pPr>
      <w:r>
        <w:rPr>
          <w:rFonts w:hint="eastAsia"/>
          <w:sz w:val="24"/>
          <w:szCs w:val="24"/>
        </w:rPr>
        <w:t>高新技术企业证书（证书编号：G</w:t>
      </w:r>
      <w:r>
        <w:rPr>
          <w:sz w:val="24"/>
          <w:szCs w:val="24"/>
        </w:rPr>
        <w:t>R</w:t>
      </w:r>
      <w:r>
        <w:rPr>
          <w:rFonts w:hint="eastAsia"/>
          <w:sz w:val="24"/>
          <w:szCs w:val="24"/>
        </w:rPr>
        <w:t>201433000799）</w:t>
      </w:r>
    </w:p>
    <w:p w14:paraId="0C86B9B1">
      <w:pPr>
        <w:rPr>
          <w:sz w:val="24"/>
          <w:szCs w:val="24"/>
        </w:rPr>
      </w:pPr>
      <w:r>
        <w:rPr>
          <w:rFonts w:hint="eastAsia"/>
          <w:sz w:val="24"/>
          <w:szCs w:val="24"/>
        </w:rPr>
        <w:t>——浙江华川实业集团有限公司（2014年）</w:t>
      </w:r>
    </w:p>
    <w:p w14:paraId="4F89CC42">
      <w:pPr>
        <w:numPr>
          <w:ilvl w:val="0"/>
          <w:numId w:val="2"/>
        </w:numPr>
        <w:rPr>
          <w:sz w:val="24"/>
          <w:szCs w:val="24"/>
        </w:rPr>
      </w:pPr>
      <w:r>
        <w:rPr>
          <w:rFonts w:hint="eastAsia"/>
          <w:sz w:val="24"/>
          <w:szCs w:val="24"/>
        </w:rPr>
        <w:t>浙江省突出贡献企业</w:t>
      </w:r>
    </w:p>
    <w:p w14:paraId="4E4D4722">
      <w:pPr>
        <w:rPr>
          <w:sz w:val="24"/>
          <w:szCs w:val="24"/>
        </w:rPr>
      </w:pPr>
      <w:r>
        <w:rPr>
          <w:rFonts w:hint="eastAsia"/>
          <w:sz w:val="24"/>
          <w:szCs w:val="24"/>
        </w:rPr>
        <w:t>——浙江华川实业集团有限公司（2014年）</w:t>
      </w:r>
    </w:p>
    <w:p w14:paraId="043DED62">
      <w:pPr>
        <w:numPr>
          <w:ilvl w:val="0"/>
          <w:numId w:val="2"/>
        </w:numPr>
        <w:rPr>
          <w:sz w:val="24"/>
          <w:szCs w:val="24"/>
        </w:rPr>
      </w:pPr>
      <w:r>
        <w:rPr>
          <w:rFonts w:hint="eastAsia"/>
          <w:sz w:val="24"/>
          <w:szCs w:val="24"/>
        </w:rPr>
        <w:t>金华市著名商标</w:t>
      </w:r>
    </w:p>
    <w:p w14:paraId="207553A2">
      <w:pPr>
        <w:rPr>
          <w:sz w:val="24"/>
          <w:szCs w:val="24"/>
        </w:rPr>
      </w:pPr>
      <w:r>
        <w:rPr>
          <w:rFonts w:hint="eastAsia"/>
          <w:sz w:val="24"/>
          <w:szCs w:val="24"/>
        </w:rPr>
        <w:t>——浙江华川实业集团有限公司（2015年）</w:t>
      </w:r>
    </w:p>
    <w:p w14:paraId="28AE4476">
      <w:pPr>
        <w:numPr>
          <w:ilvl w:val="0"/>
          <w:numId w:val="2"/>
        </w:numPr>
        <w:rPr>
          <w:sz w:val="24"/>
          <w:szCs w:val="24"/>
        </w:rPr>
      </w:pPr>
      <w:r>
        <w:rPr>
          <w:rFonts w:hint="eastAsia"/>
          <w:sz w:val="24"/>
          <w:szCs w:val="24"/>
        </w:rPr>
        <w:t>义乌市专利示范企业</w:t>
      </w:r>
    </w:p>
    <w:p w14:paraId="754F4FC4">
      <w:pPr>
        <w:rPr>
          <w:color w:val="FF0000"/>
          <w:sz w:val="24"/>
          <w:szCs w:val="24"/>
        </w:rPr>
      </w:pPr>
      <w:r>
        <w:rPr>
          <w:rFonts w:hint="eastAsia"/>
          <w:sz w:val="24"/>
          <w:szCs w:val="24"/>
        </w:rPr>
        <w:t>——浙江华川实业集团有限公司（2016年）（无证书，有文件）</w:t>
      </w:r>
    </w:p>
    <w:p w14:paraId="4FFF0F84">
      <w:pPr>
        <w:numPr>
          <w:ilvl w:val="0"/>
          <w:numId w:val="2"/>
        </w:numPr>
        <w:rPr>
          <w:sz w:val="24"/>
          <w:szCs w:val="24"/>
        </w:rPr>
      </w:pPr>
      <w:r>
        <w:rPr>
          <w:rFonts w:hint="eastAsia"/>
          <w:sz w:val="24"/>
          <w:szCs w:val="24"/>
        </w:rPr>
        <w:t>义乌市工业企业五十强</w:t>
      </w:r>
    </w:p>
    <w:p w14:paraId="12EEAC6F">
      <w:pPr>
        <w:rPr>
          <w:sz w:val="24"/>
          <w:szCs w:val="24"/>
        </w:rPr>
      </w:pPr>
      <w:r>
        <w:rPr>
          <w:rFonts w:hint="eastAsia"/>
          <w:sz w:val="24"/>
          <w:szCs w:val="24"/>
        </w:rPr>
        <w:t>——浙江华川实业集团有限公司（2016年）</w:t>
      </w:r>
    </w:p>
    <w:p w14:paraId="7767CD95">
      <w:pPr>
        <w:numPr>
          <w:ilvl w:val="0"/>
          <w:numId w:val="2"/>
        </w:numPr>
        <w:rPr>
          <w:sz w:val="24"/>
          <w:szCs w:val="24"/>
        </w:rPr>
      </w:pPr>
      <w:r>
        <w:rPr>
          <w:rFonts w:hint="eastAsia"/>
          <w:sz w:val="24"/>
          <w:szCs w:val="24"/>
        </w:rPr>
        <w:t>首届“义乌慈善奖”机构捐赠奖</w:t>
      </w:r>
    </w:p>
    <w:p w14:paraId="63C1F713">
      <w:pPr>
        <w:rPr>
          <w:sz w:val="24"/>
          <w:szCs w:val="24"/>
        </w:rPr>
      </w:pPr>
      <w:r>
        <w:rPr>
          <w:rFonts w:hint="eastAsia"/>
          <w:sz w:val="24"/>
          <w:szCs w:val="24"/>
        </w:rPr>
        <w:t>——浙江华川实业集团有限公司（2016年）</w:t>
      </w:r>
    </w:p>
    <w:p w14:paraId="5924E3D7">
      <w:pPr>
        <w:numPr>
          <w:ilvl w:val="0"/>
          <w:numId w:val="2"/>
        </w:numPr>
        <w:rPr>
          <w:sz w:val="24"/>
          <w:szCs w:val="24"/>
        </w:rPr>
      </w:pPr>
      <w:r>
        <w:rPr>
          <w:rFonts w:hint="eastAsia"/>
          <w:sz w:val="24"/>
          <w:szCs w:val="24"/>
        </w:rPr>
        <w:t>浙江省A</w:t>
      </w:r>
      <w:r>
        <w:rPr>
          <w:sz w:val="24"/>
          <w:szCs w:val="24"/>
        </w:rPr>
        <w:t>AA</w:t>
      </w:r>
      <w:r>
        <w:rPr>
          <w:rFonts w:hint="eastAsia"/>
          <w:sz w:val="24"/>
          <w:szCs w:val="24"/>
        </w:rPr>
        <w:t>级“守合同重信用”企业</w:t>
      </w:r>
    </w:p>
    <w:p w14:paraId="68AF24C5">
      <w:pPr>
        <w:rPr>
          <w:sz w:val="24"/>
          <w:szCs w:val="24"/>
        </w:rPr>
      </w:pPr>
      <w:r>
        <w:rPr>
          <w:rFonts w:hint="eastAsia"/>
          <w:sz w:val="24"/>
          <w:szCs w:val="24"/>
        </w:rPr>
        <w:t>——浙江华川实业集团有限公司（2016年）</w:t>
      </w:r>
    </w:p>
    <w:p w14:paraId="543C9617">
      <w:pPr>
        <w:numPr>
          <w:ilvl w:val="0"/>
          <w:numId w:val="2"/>
        </w:numPr>
        <w:rPr>
          <w:sz w:val="24"/>
          <w:szCs w:val="24"/>
        </w:rPr>
      </w:pPr>
      <w:r>
        <w:rPr>
          <w:rFonts w:hint="eastAsia"/>
          <w:sz w:val="24"/>
          <w:szCs w:val="24"/>
        </w:rPr>
        <w:t>浙江省华川高分子材料</w:t>
      </w:r>
    </w:p>
    <w:p w14:paraId="3DA7906D">
      <w:pPr>
        <w:rPr>
          <w:sz w:val="24"/>
          <w:szCs w:val="24"/>
        </w:rPr>
      </w:pPr>
      <w:r>
        <w:rPr>
          <w:rFonts w:hint="eastAsia"/>
          <w:sz w:val="24"/>
          <w:szCs w:val="24"/>
        </w:rPr>
        <w:t>——省级</w:t>
      </w:r>
      <w:r>
        <w:rPr>
          <w:sz w:val="24"/>
          <w:szCs w:val="24"/>
        </w:rPr>
        <w:t>高新技术企业研究开发中心</w:t>
      </w:r>
      <w:r>
        <w:rPr>
          <w:rFonts w:hint="eastAsia"/>
          <w:sz w:val="24"/>
          <w:szCs w:val="24"/>
        </w:rPr>
        <w:t>（2016年）</w:t>
      </w:r>
    </w:p>
    <w:p w14:paraId="13B7E6F6">
      <w:pPr>
        <w:numPr>
          <w:ilvl w:val="0"/>
          <w:numId w:val="2"/>
        </w:numPr>
        <w:rPr>
          <w:sz w:val="24"/>
          <w:szCs w:val="24"/>
        </w:rPr>
      </w:pPr>
      <w:r>
        <w:rPr>
          <w:rFonts w:hint="eastAsia"/>
          <w:sz w:val="24"/>
          <w:szCs w:val="24"/>
        </w:rPr>
        <w:t>浙江省A</w:t>
      </w:r>
      <w:r>
        <w:rPr>
          <w:sz w:val="24"/>
          <w:szCs w:val="24"/>
        </w:rPr>
        <w:t>A</w:t>
      </w:r>
      <w:r>
        <w:rPr>
          <w:rFonts w:hint="eastAsia"/>
          <w:sz w:val="24"/>
          <w:szCs w:val="24"/>
        </w:rPr>
        <w:t>级“守合同重信用”企业</w:t>
      </w:r>
    </w:p>
    <w:p w14:paraId="3617A1B3">
      <w:pPr>
        <w:rPr>
          <w:sz w:val="24"/>
          <w:szCs w:val="24"/>
        </w:rPr>
      </w:pPr>
      <w:r>
        <w:rPr>
          <w:rFonts w:hint="eastAsia"/>
          <w:sz w:val="24"/>
          <w:szCs w:val="24"/>
        </w:rPr>
        <w:t>——义乌市义南纸业有限公司（2016年）</w:t>
      </w:r>
    </w:p>
    <w:p w14:paraId="404E4BC4">
      <w:pPr>
        <w:numPr>
          <w:ilvl w:val="0"/>
          <w:numId w:val="2"/>
        </w:numPr>
        <w:rPr>
          <w:sz w:val="24"/>
          <w:szCs w:val="24"/>
        </w:rPr>
      </w:pPr>
      <w:r>
        <w:rPr>
          <w:rFonts w:hint="eastAsia"/>
          <w:sz w:val="24"/>
          <w:szCs w:val="24"/>
        </w:rPr>
        <w:t>浙江省专利示范企业</w:t>
      </w:r>
    </w:p>
    <w:p w14:paraId="19D5040C">
      <w:pPr>
        <w:rPr>
          <w:sz w:val="24"/>
          <w:szCs w:val="24"/>
        </w:rPr>
      </w:pPr>
      <w:r>
        <w:rPr>
          <w:rFonts w:hint="eastAsia"/>
          <w:sz w:val="24"/>
          <w:szCs w:val="24"/>
        </w:rPr>
        <w:t>——浙江华川实业集团有限公司（2016年）</w:t>
      </w:r>
    </w:p>
    <w:p w14:paraId="3992D603">
      <w:pPr>
        <w:numPr>
          <w:ilvl w:val="0"/>
          <w:numId w:val="2"/>
        </w:numPr>
        <w:rPr>
          <w:sz w:val="24"/>
          <w:szCs w:val="24"/>
        </w:rPr>
      </w:pPr>
      <w:r>
        <w:rPr>
          <w:rFonts w:hint="eastAsia"/>
          <w:sz w:val="24"/>
          <w:szCs w:val="24"/>
        </w:rPr>
        <w:t>赤岸镇有效投资工作先进集体</w:t>
      </w:r>
    </w:p>
    <w:p w14:paraId="5F7A74DE">
      <w:pPr>
        <w:rPr>
          <w:sz w:val="24"/>
          <w:szCs w:val="24"/>
        </w:rPr>
      </w:pPr>
      <w:r>
        <w:rPr>
          <w:rFonts w:hint="eastAsia"/>
          <w:sz w:val="24"/>
          <w:szCs w:val="24"/>
        </w:rPr>
        <w:t>——浙江华川实业集团有限公司（2017年）</w:t>
      </w:r>
    </w:p>
    <w:p w14:paraId="1AA756A7">
      <w:pPr>
        <w:numPr>
          <w:ilvl w:val="0"/>
          <w:numId w:val="2"/>
        </w:numPr>
        <w:rPr>
          <w:sz w:val="24"/>
          <w:szCs w:val="24"/>
        </w:rPr>
      </w:pPr>
      <w:r>
        <w:rPr>
          <w:rFonts w:hint="eastAsia"/>
          <w:sz w:val="24"/>
          <w:szCs w:val="24"/>
        </w:rPr>
        <w:t>义乌市工业企业五十强</w:t>
      </w:r>
    </w:p>
    <w:p w14:paraId="724A3F08">
      <w:pPr>
        <w:rPr>
          <w:sz w:val="24"/>
          <w:szCs w:val="24"/>
        </w:rPr>
      </w:pPr>
      <w:r>
        <w:rPr>
          <w:rFonts w:hint="eastAsia"/>
          <w:sz w:val="24"/>
          <w:szCs w:val="24"/>
        </w:rPr>
        <w:t>——浙江华川实业集团有限公司（2017年）</w:t>
      </w:r>
    </w:p>
    <w:p w14:paraId="2A09219F">
      <w:pPr>
        <w:numPr>
          <w:ilvl w:val="0"/>
          <w:numId w:val="2"/>
        </w:numPr>
        <w:rPr>
          <w:sz w:val="24"/>
          <w:szCs w:val="24"/>
        </w:rPr>
      </w:pPr>
      <w:r>
        <w:rPr>
          <w:rFonts w:hint="eastAsia"/>
          <w:sz w:val="24"/>
          <w:szCs w:val="24"/>
        </w:rPr>
        <w:t>义乌市综合纳税第十九名</w:t>
      </w:r>
    </w:p>
    <w:p w14:paraId="117378A0">
      <w:pPr>
        <w:rPr>
          <w:sz w:val="24"/>
          <w:szCs w:val="24"/>
        </w:rPr>
      </w:pPr>
      <w:r>
        <w:rPr>
          <w:rFonts w:hint="eastAsia"/>
          <w:sz w:val="24"/>
          <w:szCs w:val="24"/>
        </w:rPr>
        <w:t>——浙江华川实业集团有限公司（2017年）</w:t>
      </w:r>
    </w:p>
    <w:p w14:paraId="67CD06ED">
      <w:pPr>
        <w:numPr>
          <w:ilvl w:val="0"/>
          <w:numId w:val="2"/>
        </w:numPr>
        <w:rPr>
          <w:sz w:val="24"/>
          <w:szCs w:val="24"/>
        </w:rPr>
      </w:pPr>
      <w:r>
        <w:rPr>
          <w:rFonts w:hint="eastAsia"/>
          <w:sz w:val="24"/>
          <w:szCs w:val="24"/>
        </w:rPr>
        <w:t>义乌市协税护税协会常务理事</w:t>
      </w:r>
    </w:p>
    <w:p w14:paraId="78C7F984">
      <w:pPr>
        <w:rPr>
          <w:sz w:val="24"/>
          <w:szCs w:val="24"/>
        </w:rPr>
      </w:pPr>
      <w:r>
        <w:rPr>
          <w:rFonts w:hint="eastAsia"/>
          <w:sz w:val="24"/>
          <w:szCs w:val="24"/>
        </w:rPr>
        <w:t>——浙江华川实业集团有限公司（2017年）</w:t>
      </w:r>
    </w:p>
    <w:p w14:paraId="4C8D334B">
      <w:pPr>
        <w:numPr>
          <w:ilvl w:val="0"/>
          <w:numId w:val="2"/>
        </w:numPr>
        <w:rPr>
          <w:sz w:val="24"/>
          <w:szCs w:val="24"/>
        </w:rPr>
      </w:pPr>
      <w:r>
        <w:rPr>
          <w:rFonts w:hint="eastAsia"/>
          <w:sz w:val="24"/>
          <w:szCs w:val="24"/>
        </w:rPr>
        <w:t>浙江省博士后工作站</w:t>
      </w:r>
    </w:p>
    <w:p w14:paraId="51DB2DED">
      <w:pPr>
        <w:rPr>
          <w:color w:val="FF0000"/>
          <w:sz w:val="24"/>
          <w:szCs w:val="24"/>
        </w:rPr>
      </w:pPr>
      <w:r>
        <w:rPr>
          <w:rFonts w:hint="eastAsia"/>
          <w:sz w:val="24"/>
          <w:szCs w:val="24"/>
        </w:rPr>
        <w:t>——浙江华川实业集团有限公司（2017年）（无证书，有文件）</w:t>
      </w:r>
    </w:p>
    <w:p w14:paraId="0E6D4E66">
      <w:pPr>
        <w:numPr>
          <w:ilvl w:val="0"/>
          <w:numId w:val="2"/>
        </w:numPr>
        <w:rPr>
          <w:sz w:val="24"/>
          <w:szCs w:val="24"/>
        </w:rPr>
      </w:pPr>
      <w:r>
        <w:rPr>
          <w:rFonts w:hint="eastAsia"/>
          <w:sz w:val="24"/>
          <w:szCs w:val="24"/>
        </w:rPr>
        <w:t>高新技术企业证书（证书编号：G</w:t>
      </w:r>
      <w:r>
        <w:rPr>
          <w:sz w:val="24"/>
          <w:szCs w:val="24"/>
        </w:rPr>
        <w:t>R</w:t>
      </w:r>
      <w:r>
        <w:rPr>
          <w:rFonts w:hint="eastAsia"/>
          <w:sz w:val="24"/>
          <w:szCs w:val="24"/>
        </w:rPr>
        <w:t>201733000788）</w:t>
      </w:r>
    </w:p>
    <w:p w14:paraId="4A51E8A2">
      <w:pPr>
        <w:rPr>
          <w:sz w:val="24"/>
          <w:szCs w:val="24"/>
        </w:rPr>
      </w:pPr>
      <w:r>
        <w:rPr>
          <w:rFonts w:hint="eastAsia"/>
          <w:sz w:val="24"/>
          <w:szCs w:val="24"/>
        </w:rPr>
        <w:t>——浙江华川实业集团有限公司（2017年）</w:t>
      </w:r>
    </w:p>
    <w:p w14:paraId="724DCEBB">
      <w:pPr>
        <w:numPr>
          <w:ilvl w:val="0"/>
          <w:numId w:val="2"/>
        </w:numPr>
        <w:rPr>
          <w:sz w:val="24"/>
          <w:szCs w:val="24"/>
        </w:rPr>
      </w:pPr>
      <w:r>
        <w:rPr>
          <w:rFonts w:hint="eastAsia"/>
          <w:sz w:val="24"/>
          <w:szCs w:val="24"/>
        </w:rPr>
        <w:t>赤岸镇有效投资工作先进集体</w:t>
      </w:r>
    </w:p>
    <w:p w14:paraId="66ECA8B9">
      <w:pPr>
        <w:rPr>
          <w:sz w:val="24"/>
          <w:szCs w:val="24"/>
        </w:rPr>
      </w:pPr>
      <w:r>
        <w:rPr>
          <w:rFonts w:hint="eastAsia"/>
          <w:sz w:val="24"/>
          <w:szCs w:val="24"/>
        </w:rPr>
        <w:t>——浙江华川实业集团有限公司（2018年）</w:t>
      </w:r>
    </w:p>
    <w:p w14:paraId="7B292C8C">
      <w:pPr>
        <w:numPr>
          <w:ilvl w:val="0"/>
          <w:numId w:val="2"/>
        </w:numPr>
        <w:rPr>
          <w:sz w:val="24"/>
          <w:szCs w:val="24"/>
        </w:rPr>
      </w:pPr>
      <w:r>
        <w:rPr>
          <w:rFonts w:hint="eastAsia"/>
          <w:sz w:val="24"/>
          <w:szCs w:val="24"/>
        </w:rPr>
        <w:t>赤岸镇优秀企业</w:t>
      </w:r>
    </w:p>
    <w:p w14:paraId="67438599">
      <w:pPr>
        <w:rPr>
          <w:sz w:val="24"/>
          <w:szCs w:val="24"/>
        </w:rPr>
      </w:pPr>
      <w:r>
        <w:rPr>
          <w:rFonts w:hint="eastAsia"/>
          <w:sz w:val="24"/>
          <w:szCs w:val="24"/>
        </w:rPr>
        <w:t>——浙江华川实业集团有限公司（2018年）</w:t>
      </w:r>
    </w:p>
    <w:p w14:paraId="4ADB6A94">
      <w:pPr>
        <w:numPr>
          <w:ilvl w:val="0"/>
          <w:numId w:val="2"/>
        </w:numPr>
        <w:rPr>
          <w:sz w:val="24"/>
          <w:szCs w:val="24"/>
        </w:rPr>
      </w:pPr>
      <w:r>
        <w:rPr>
          <w:rFonts w:hint="eastAsia"/>
          <w:sz w:val="24"/>
          <w:szCs w:val="24"/>
        </w:rPr>
        <w:t>“赤岸镇垃圾分类宣传进企业”活动三等奖</w:t>
      </w:r>
    </w:p>
    <w:p w14:paraId="7BD90898">
      <w:pPr>
        <w:rPr>
          <w:sz w:val="24"/>
          <w:szCs w:val="24"/>
        </w:rPr>
      </w:pPr>
      <w:r>
        <w:rPr>
          <w:rFonts w:hint="eastAsia"/>
          <w:sz w:val="24"/>
          <w:szCs w:val="24"/>
        </w:rPr>
        <w:t>——浙江华川实业集团有限公司（2018年）</w:t>
      </w:r>
    </w:p>
    <w:p w14:paraId="0810B245">
      <w:pPr>
        <w:numPr>
          <w:ilvl w:val="0"/>
          <w:numId w:val="2"/>
        </w:numPr>
        <w:rPr>
          <w:sz w:val="24"/>
          <w:szCs w:val="24"/>
        </w:rPr>
      </w:pPr>
      <w:r>
        <w:rPr>
          <w:rFonts w:hint="eastAsia"/>
          <w:sz w:val="24"/>
          <w:szCs w:val="24"/>
        </w:rPr>
        <w:t>义乌市社会福利企业福利员工医企联动健康护航服务企业</w:t>
      </w:r>
    </w:p>
    <w:p w14:paraId="0319B4BE">
      <w:pPr>
        <w:rPr>
          <w:sz w:val="24"/>
          <w:szCs w:val="24"/>
        </w:rPr>
      </w:pPr>
      <w:r>
        <w:rPr>
          <w:rFonts w:hint="eastAsia"/>
          <w:sz w:val="24"/>
          <w:szCs w:val="24"/>
        </w:rPr>
        <w:t>——浙江华川实业集团有限公司（2018年）</w:t>
      </w:r>
    </w:p>
    <w:p w14:paraId="38BE9F8A">
      <w:pPr>
        <w:numPr>
          <w:ilvl w:val="0"/>
          <w:numId w:val="2"/>
        </w:numPr>
        <w:rPr>
          <w:sz w:val="24"/>
          <w:szCs w:val="24"/>
        </w:rPr>
      </w:pPr>
      <w:r>
        <w:rPr>
          <w:rFonts w:hint="eastAsia"/>
          <w:sz w:val="24"/>
          <w:szCs w:val="24"/>
        </w:rPr>
        <w:t>义乌市工业企业五十强</w:t>
      </w:r>
    </w:p>
    <w:p w14:paraId="2B4658C4">
      <w:pPr>
        <w:rPr>
          <w:sz w:val="24"/>
          <w:szCs w:val="24"/>
        </w:rPr>
      </w:pPr>
      <w:r>
        <w:rPr>
          <w:rFonts w:hint="eastAsia"/>
          <w:sz w:val="24"/>
          <w:szCs w:val="24"/>
        </w:rPr>
        <w:t>——浙江华川实业集团有限公司（2018年）</w:t>
      </w:r>
    </w:p>
    <w:p w14:paraId="0946D85F">
      <w:pPr>
        <w:numPr>
          <w:ilvl w:val="0"/>
          <w:numId w:val="2"/>
        </w:numPr>
        <w:rPr>
          <w:sz w:val="24"/>
          <w:szCs w:val="24"/>
        </w:rPr>
      </w:pPr>
      <w:r>
        <w:rPr>
          <w:rFonts w:hint="eastAsia"/>
          <w:sz w:val="24"/>
          <w:szCs w:val="24"/>
        </w:rPr>
        <w:t>义乌市工业亩产效益综合评价A类企业</w:t>
      </w:r>
    </w:p>
    <w:p w14:paraId="1151BEA3">
      <w:pPr>
        <w:rPr>
          <w:sz w:val="24"/>
          <w:szCs w:val="24"/>
        </w:rPr>
      </w:pPr>
      <w:r>
        <w:rPr>
          <w:rFonts w:hint="eastAsia"/>
          <w:sz w:val="24"/>
          <w:szCs w:val="24"/>
        </w:rPr>
        <w:t>——浙江华川实业集团有限公司（2018年）</w:t>
      </w:r>
    </w:p>
    <w:p w14:paraId="511C3B5F">
      <w:pPr>
        <w:numPr>
          <w:ilvl w:val="0"/>
          <w:numId w:val="2"/>
        </w:numPr>
        <w:rPr>
          <w:sz w:val="24"/>
          <w:szCs w:val="24"/>
        </w:rPr>
      </w:pPr>
      <w:r>
        <w:rPr>
          <w:rFonts w:hint="eastAsia"/>
          <w:sz w:val="24"/>
          <w:szCs w:val="24"/>
        </w:rPr>
        <w:t>浙江省高新技术企业协会会员证书</w:t>
      </w:r>
    </w:p>
    <w:p w14:paraId="3FC1FFA3">
      <w:pPr>
        <w:rPr>
          <w:sz w:val="24"/>
          <w:szCs w:val="24"/>
        </w:rPr>
      </w:pPr>
      <w:r>
        <w:rPr>
          <w:rFonts w:hint="eastAsia"/>
          <w:sz w:val="24"/>
          <w:szCs w:val="24"/>
        </w:rPr>
        <w:t>——浙江华川实业集团有限公司（2018年）</w:t>
      </w:r>
    </w:p>
    <w:p w14:paraId="1B4532E5">
      <w:pPr>
        <w:numPr>
          <w:ilvl w:val="0"/>
          <w:numId w:val="2"/>
        </w:numPr>
        <w:rPr>
          <w:sz w:val="24"/>
          <w:szCs w:val="24"/>
        </w:rPr>
      </w:pPr>
      <w:r>
        <w:rPr>
          <w:rFonts w:hint="eastAsia"/>
          <w:sz w:val="24"/>
          <w:szCs w:val="24"/>
        </w:rPr>
        <w:t>义乌市民营经济发展代表人士</w:t>
      </w:r>
    </w:p>
    <w:p w14:paraId="676DA6A4">
      <w:pPr>
        <w:rPr>
          <w:sz w:val="24"/>
          <w:szCs w:val="24"/>
        </w:rPr>
      </w:pPr>
      <w:r>
        <w:rPr>
          <w:rFonts w:hint="eastAsia"/>
          <w:sz w:val="24"/>
          <w:szCs w:val="24"/>
        </w:rPr>
        <w:t>——冯潮兴（2019年）</w:t>
      </w:r>
    </w:p>
    <w:p w14:paraId="154E54D9">
      <w:pPr>
        <w:numPr>
          <w:ilvl w:val="0"/>
          <w:numId w:val="2"/>
        </w:numPr>
        <w:rPr>
          <w:sz w:val="24"/>
          <w:szCs w:val="24"/>
        </w:rPr>
      </w:pPr>
      <w:r>
        <w:rPr>
          <w:rFonts w:hint="eastAsia"/>
          <w:sz w:val="24"/>
          <w:szCs w:val="24"/>
        </w:rPr>
        <w:t>义乌市职工运动会田径比赛拔河比赛二等奖</w:t>
      </w:r>
    </w:p>
    <w:p w14:paraId="17D6A1A5">
      <w:pPr>
        <w:rPr>
          <w:sz w:val="24"/>
          <w:szCs w:val="24"/>
        </w:rPr>
      </w:pPr>
      <w:r>
        <w:rPr>
          <w:rFonts w:hint="eastAsia"/>
          <w:sz w:val="24"/>
          <w:szCs w:val="24"/>
        </w:rPr>
        <w:t>——浙江华川实业集团有限公司（2019年）</w:t>
      </w:r>
    </w:p>
    <w:p w14:paraId="30E15FF5">
      <w:pPr>
        <w:numPr>
          <w:ilvl w:val="0"/>
          <w:numId w:val="2"/>
        </w:numPr>
        <w:rPr>
          <w:sz w:val="24"/>
          <w:szCs w:val="24"/>
        </w:rPr>
      </w:pPr>
      <w:r>
        <w:rPr>
          <w:rFonts w:hint="eastAsia"/>
          <w:sz w:val="24"/>
          <w:szCs w:val="24"/>
        </w:rPr>
        <w:t>义乌市工业企业五十强</w:t>
      </w:r>
    </w:p>
    <w:p w14:paraId="1E18BB1F">
      <w:pPr>
        <w:rPr>
          <w:sz w:val="24"/>
          <w:szCs w:val="24"/>
        </w:rPr>
      </w:pPr>
      <w:r>
        <w:rPr>
          <w:rFonts w:hint="eastAsia"/>
          <w:sz w:val="24"/>
          <w:szCs w:val="24"/>
        </w:rPr>
        <w:t>——浙江华川实业集团有限公司（2019年）</w:t>
      </w:r>
    </w:p>
    <w:p w14:paraId="753DB99A">
      <w:pPr>
        <w:numPr>
          <w:ilvl w:val="0"/>
          <w:numId w:val="2"/>
        </w:numPr>
        <w:rPr>
          <w:sz w:val="24"/>
          <w:szCs w:val="24"/>
        </w:rPr>
      </w:pPr>
      <w:r>
        <w:rPr>
          <w:rFonts w:hint="eastAsia"/>
          <w:sz w:val="24"/>
          <w:szCs w:val="24"/>
        </w:rPr>
        <w:t>义乌市工业亩产效益综合评价A类企业</w:t>
      </w:r>
    </w:p>
    <w:p w14:paraId="274DE95C">
      <w:pPr>
        <w:rPr>
          <w:sz w:val="24"/>
          <w:szCs w:val="24"/>
        </w:rPr>
      </w:pPr>
      <w:r>
        <w:rPr>
          <w:rFonts w:hint="eastAsia"/>
          <w:sz w:val="24"/>
          <w:szCs w:val="24"/>
        </w:rPr>
        <w:t>——浙江华川实业集团有限公司（2019年）</w:t>
      </w:r>
    </w:p>
    <w:p w14:paraId="53C14BAF">
      <w:pPr>
        <w:numPr>
          <w:ilvl w:val="0"/>
          <w:numId w:val="2"/>
        </w:numPr>
        <w:rPr>
          <w:sz w:val="24"/>
          <w:szCs w:val="24"/>
        </w:rPr>
      </w:pPr>
      <w:r>
        <w:rPr>
          <w:rFonts w:hint="eastAsia"/>
          <w:sz w:val="24"/>
          <w:szCs w:val="24"/>
        </w:rPr>
        <w:t>义乌市工业企业五十强</w:t>
      </w:r>
    </w:p>
    <w:p w14:paraId="570F8FDE">
      <w:pPr>
        <w:rPr>
          <w:sz w:val="24"/>
          <w:szCs w:val="24"/>
        </w:rPr>
      </w:pPr>
      <w:r>
        <w:rPr>
          <w:rFonts w:hint="eastAsia"/>
          <w:sz w:val="24"/>
          <w:szCs w:val="24"/>
        </w:rPr>
        <w:t>——浙江华川实业集团有限公司（2020年）</w:t>
      </w:r>
    </w:p>
    <w:p w14:paraId="7D82DEA1">
      <w:pPr>
        <w:numPr>
          <w:ilvl w:val="0"/>
          <w:numId w:val="2"/>
        </w:numPr>
        <w:rPr>
          <w:sz w:val="24"/>
          <w:szCs w:val="24"/>
        </w:rPr>
      </w:pPr>
      <w:r>
        <w:rPr>
          <w:rFonts w:hint="eastAsia"/>
          <w:sz w:val="24"/>
          <w:szCs w:val="24"/>
        </w:rPr>
        <w:t>义乌市工业亩产效益综合评价A类企业</w:t>
      </w:r>
    </w:p>
    <w:p w14:paraId="0C00ACC7">
      <w:pPr>
        <w:rPr>
          <w:sz w:val="24"/>
          <w:szCs w:val="24"/>
        </w:rPr>
      </w:pPr>
      <w:r>
        <w:rPr>
          <w:rFonts w:hint="eastAsia"/>
          <w:sz w:val="24"/>
          <w:szCs w:val="24"/>
        </w:rPr>
        <w:t>——浙江华川实业集团有限公司（2020年）</w:t>
      </w:r>
    </w:p>
    <w:p w14:paraId="2AA4A5EC">
      <w:pPr>
        <w:rPr>
          <w:sz w:val="24"/>
          <w:szCs w:val="24"/>
        </w:rPr>
      </w:pPr>
      <w:r>
        <w:rPr>
          <w:rFonts w:hint="eastAsia"/>
          <w:sz w:val="24"/>
          <w:szCs w:val="24"/>
        </w:rPr>
        <w:t>42义乌市慈善总会副会长单位（2021-2026）</w:t>
      </w:r>
    </w:p>
    <w:p w14:paraId="08690CAE">
      <w:pPr>
        <w:rPr>
          <w:sz w:val="24"/>
          <w:szCs w:val="24"/>
        </w:rPr>
      </w:pPr>
      <w:r>
        <w:rPr>
          <w:rFonts w:hint="eastAsia"/>
          <w:sz w:val="24"/>
          <w:szCs w:val="24"/>
        </w:rPr>
        <w:t>——浙江华川实业集团有限公司（2020年）</w:t>
      </w:r>
    </w:p>
    <w:p w14:paraId="2EC65320">
      <w:pPr>
        <w:rPr>
          <w:sz w:val="24"/>
          <w:szCs w:val="24"/>
        </w:rPr>
      </w:pPr>
      <w:r>
        <w:rPr>
          <w:rFonts w:hint="eastAsia"/>
          <w:sz w:val="24"/>
          <w:szCs w:val="24"/>
        </w:rPr>
        <w:t>43义乌市工业企业五十强</w:t>
      </w:r>
    </w:p>
    <w:p w14:paraId="47742435">
      <w:pPr>
        <w:rPr>
          <w:sz w:val="24"/>
          <w:szCs w:val="24"/>
        </w:rPr>
      </w:pPr>
      <w:r>
        <w:rPr>
          <w:rFonts w:hint="eastAsia"/>
          <w:sz w:val="24"/>
          <w:szCs w:val="24"/>
        </w:rPr>
        <w:t>——浙江华川实业集团有限公司（2021年）</w:t>
      </w:r>
    </w:p>
    <w:p w14:paraId="0D6BE202">
      <w:pPr>
        <w:rPr>
          <w:sz w:val="24"/>
          <w:szCs w:val="24"/>
        </w:rPr>
      </w:pPr>
      <w:r>
        <w:rPr>
          <w:rFonts w:hint="eastAsia"/>
          <w:sz w:val="24"/>
          <w:szCs w:val="24"/>
        </w:rPr>
        <w:t>44义乌市工业亩产效益综合评价A类企业</w:t>
      </w:r>
    </w:p>
    <w:p w14:paraId="4C3D28BE">
      <w:pPr>
        <w:rPr>
          <w:sz w:val="24"/>
          <w:szCs w:val="24"/>
        </w:rPr>
      </w:pPr>
      <w:r>
        <w:rPr>
          <w:rFonts w:hint="eastAsia"/>
          <w:sz w:val="24"/>
          <w:szCs w:val="24"/>
        </w:rPr>
        <w:t>——浙江华川实业集团有限公司（2021年）</w:t>
      </w:r>
    </w:p>
    <w:p w14:paraId="6BEDF2CD">
      <w:pPr>
        <w:rPr>
          <w:sz w:val="24"/>
          <w:szCs w:val="24"/>
        </w:rPr>
      </w:pPr>
      <w:r>
        <w:rPr>
          <w:rFonts w:hint="eastAsia"/>
          <w:sz w:val="24"/>
          <w:szCs w:val="24"/>
        </w:rPr>
        <w:t>45金华市慈善机构捐赠奖</w:t>
      </w:r>
    </w:p>
    <w:p w14:paraId="47D2949D">
      <w:pPr>
        <w:rPr>
          <w:sz w:val="24"/>
          <w:szCs w:val="24"/>
        </w:rPr>
      </w:pPr>
      <w:r>
        <w:rPr>
          <w:rFonts w:hint="eastAsia"/>
          <w:sz w:val="24"/>
          <w:szCs w:val="24"/>
        </w:rPr>
        <w:t>——浙江华川实业集团有限公司（2021年）</w:t>
      </w:r>
    </w:p>
    <w:p w14:paraId="688EDE14">
      <w:pPr>
        <w:rPr>
          <w:sz w:val="24"/>
          <w:szCs w:val="24"/>
        </w:rPr>
      </w:pPr>
      <w:r>
        <w:rPr>
          <w:rFonts w:hint="eastAsia"/>
          <w:sz w:val="24"/>
          <w:szCs w:val="24"/>
        </w:rPr>
        <w:t>46学习型企业</w:t>
      </w:r>
    </w:p>
    <w:p w14:paraId="52D66CDA">
      <w:pPr>
        <w:rPr>
          <w:sz w:val="24"/>
          <w:szCs w:val="24"/>
        </w:rPr>
      </w:pPr>
      <w:r>
        <w:rPr>
          <w:rFonts w:hint="eastAsia"/>
          <w:sz w:val="24"/>
          <w:szCs w:val="24"/>
        </w:rPr>
        <w:t>——浙江华川实业集团有限公司（2021年）</w:t>
      </w:r>
    </w:p>
    <w:p w14:paraId="27519568">
      <w:pPr>
        <w:rPr>
          <w:sz w:val="24"/>
          <w:szCs w:val="24"/>
        </w:rPr>
      </w:pPr>
      <w:r>
        <w:rPr>
          <w:rFonts w:hint="eastAsia"/>
          <w:sz w:val="24"/>
          <w:szCs w:val="24"/>
        </w:rPr>
        <w:t>47</w:t>
      </w:r>
      <w:r>
        <w:rPr>
          <w:rStyle w:val="63"/>
          <w:rFonts w:hint="eastAsia" w:ascii="宋体" w:hAnsi="宋体"/>
          <w:sz w:val="24"/>
          <w:szCs w:val="24"/>
        </w:rPr>
        <w:t>节水标杆企业</w:t>
      </w:r>
    </w:p>
    <w:p w14:paraId="02C2A3D6">
      <w:pPr>
        <w:rPr>
          <w:rFonts w:hint="eastAsia" w:eastAsia="宋体"/>
          <w:sz w:val="24"/>
          <w:szCs w:val="24"/>
          <w:lang w:eastAsia="zh-CN"/>
        </w:rPr>
      </w:pPr>
      <w:r>
        <w:rPr>
          <w:rFonts w:hint="eastAsia"/>
          <w:sz w:val="24"/>
          <w:szCs w:val="24"/>
        </w:rPr>
        <w:t>——浙江华川实业集团有限公司（2021年</w:t>
      </w:r>
      <w:r>
        <w:rPr>
          <w:rFonts w:hint="eastAsia"/>
          <w:sz w:val="24"/>
          <w:szCs w:val="24"/>
          <w:lang w:eastAsia="zh-CN"/>
        </w:rPr>
        <w:t>）</w:t>
      </w:r>
    </w:p>
    <w:p w14:paraId="22C70B70">
      <w:pPr>
        <w:rPr>
          <w:rFonts w:hint="eastAsia"/>
          <w:sz w:val="24"/>
          <w:szCs w:val="24"/>
          <w:lang w:val="en-US" w:eastAsia="zh-CN"/>
        </w:rPr>
      </w:pPr>
      <w:r>
        <w:rPr>
          <w:rFonts w:hint="eastAsia"/>
          <w:sz w:val="24"/>
          <w:szCs w:val="24"/>
          <w:lang w:val="en-US" w:eastAsia="zh-CN"/>
        </w:rPr>
        <w:t>48国家级绿色工厂</w:t>
      </w:r>
    </w:p>
    <w:p w14:paraId="7DDEB5EB">
      <w:pPr>
        <w:rPr>
          <w:rFonts w:hint="eastAsia"/>
          <w:sz w:val="24"/>
          <w:szCs w:val="24"/>
        </w:rPr>
      </w:pPr>
      <w:r>
        <w:rPr>
          <w:rFonts w:hint="eastAsia"/>
          <w:sz w:val="24"/>
          <w:szCs w:val="24"/>
        </w:rPr>
        <w:t>——浙江华川实业集团有限公司（202</w:t>
      </w:r>
      <w:r>
        <w:rPr>
          <w:rFonts w:hint="eastAsia"/>
          <w:sz w:val="24"/>
          <w:szCs w:val="24"/>
          <w:lang w:val="en-US" w:eastAsia="zh-CN"/>
        </w:rPr>
        <w:t>3）</w:t>
      </w:r>
      <w:r>
        <w:rPr>
          <w:rFonts w:hint="eastAsia"/>
          <w:sz w:val="24"/>
          <w:szCs w:val="24"/>
        </w:rPr>
        <w:t>年</w:t>
      </w:r>
    </w:p>
    <w:p w14:paraId="6580B97A">
      <w:pPr>
        <w:rPr>
          <w:rFonts w:hint="eastAsia"/>
          <w:sz w:val="24"/>
          <w:szCs w:val="24"/>
          <w:lang w:val="en-US" w:eastAsia="zh-CN"/>
        </w:rPr>
      </w:pPr>
      <w:r>
        <w:rPr>
          <w:rFonts w:hint="eastAsia"/>
          <w:sz w:val="24"/>
          <w:szCs w:val="24"/>
          <w:lang w:val="en-US" w:eastAsia="zh-CN"/>
        </w:rPr>
        <w:t>49浙江省全新型中小企业</w:t>
      </w:r>
    </w:p>
    <w:p w14:paraId="57FAC6E3">
      <w:pPr>
        <w:rPr>
          <w:rFonts w:hint="eastAsia"/>
          <w:sz w:val="24"/>
          <w:szCs w:val="24"/>
          <w:lang w:eastAsia="zh-CN"/>
        </w:rPr>
      </w:pPr>
      <w:r>
        <w:rPr>
          <w:rFonts w:hint="eastAsia"/>
          <w:sz w:val="24"/>
          <w:szCs w:val="24"/>
        </w:rPr>
        <w:t>——浙江华川实业集团有限公司（202</w:t>
      </w:r>
      <w:r>
        <w:rPr>
          <w:rFonts w:hint="eastAsia"/>
          <w:sz w:val="24"/>
          <w:szCs w:val="24"/>
          <w:lang w:val="en-US" w:eastAsia="zh-CN"/>
        </w:rPr>
        <w:t>4</w:t>
      </w:r>
      <w:r>
        <w:rPr>
          <w:rFonts w:hint="eastAsia"/>
          <w:sz w:val="24"/>
          <w:szCs w:val="24"/>
        </w:rPr>
        <w:t>年</w:t>
      </w:r>
      <w:r>
        <w:rPr>
          <w:rFonts w:hint="eastAsia"/>
          <w:sz w:val="24"/>
          <w:szCs w:val="24"/>
          <w:lang w:eastAsia="zh-CN"/>
        </w:rPr>
        <w:t>）</w:t>
      </w:r>
    </w:p>
    <w:p w14:paraId="562256F0">
      <w:pPr>
        <w:rPr>
          <w:rFonts w:hint="eastAsia"/>
          <w:sz w:val="24"/>
          <w:szCs w:val="24"/>
          <w:lang w:val="en-US" w:eastAsia="zh-CN"/>
        </w:rPr>
      </w:pPr>
      <w:r>
        <w:rPr>
          <w:rFonts w:hint="eastAsia"/>
          <w:sz w:val="24"/>
          <w:szCs w:val="24"/>
          <w:lang w:val="en-US" w:eastAsia="zh-CN"/>
        </w:rPr>
        <w:t>50助推革命老区发展突出贡献奖</w:t>
      </w:r>
    </w:p>
    <w:p w14:paraId="73FD2E24">
      <w:pPr>
        <w:rPr>
          <w:rFonts w:hint="eastAsia"/>
          <w:sz w:val="24"/>
          <w:szCs w:val="24"/>
          <w:lang w:eastAsia="zh-CN"/>
        </w:rPr>
      </w:pPr>
      <w:r>
        <w:rPr>
          <w:rFonts w:hint="eastAsia"/>
          <w:sz w:val="24"/>
          <w:szCs w:val="24"/>
        </w:rPr>
        <w:t>——浙江华川实业集团有限公司（202</w:t>
      </w:r>
      <w:r>
        <w:rPr>
          <w:rFonts w:hint="eastAsia"/>
          <w:sz w:val="24"/>
          <w:szCs w:val="24"/>
          <w:lang w:val="en-US" w:eastAsia="zh-CN"/>
        </w:rPr>
        <w:t>4</w:t>
      </w:r>
      <w:r>
        <w:rPr>
          <w:rFonts w:hint="eastAsia"/>
          <w:sz w:val="24"/>
          <w:szCs w:val="24"/>
        </w:rPr>
        <w:t>年</w:t>
      </w:r>
      <w:r>
        <w:rPr>
          <w:rFonts w:hint="eastAsia"/>
          <w:sz w:val="24"/>
          <w:szCs w:val="24"/>
          <w:lang w:eastAsia="zh-CN"/>
        </w:rPr>
        <w:t>）</w:t>
      </w:r>
    </w:p>
    <w:p w14:paraId="49E5B137">
      <w:pPr>
        <w:rPr>
          <w:rFonts w:hint="eastAsia"/>
          <w:sz w:val="24"/>
          <w:szCs w:val="24"/>
          <w:lang w:val="en-US" w:eastAsia="zh-CN"/>
        </w:rPr>
      </w:pPr>
      <w:r>
        <w:rPr>
          <w:rFonts w:hint="eastAsia"/>
          <w:sz w:val="24"/>
          <w:szCs w:val="24"/>
          <w:lang w:val="en-US" w:eastAsia="zh-CN"/>
        </w:rPr>
        <w:t>51优秀企业奖</w:t>
      </w:r>
    </w:p>
    <w:p w14:paraId="3DB6C280">
      <w:pPr>
        <w:rPr>
          <w:rFonts w:hint="eastAsia"/>
          <w:sz w:val="24"/>
          <w:szCs w:val="24"/>
          <w:lang w:val="en-US" w:eastAsia="zh-CN"/>
        </w:rPr>
      </w:pPr>
      <w:r>
        <w:rPr>
          <w:rFonts w:hint="eastAsia"/>
          <w:sz w:val="24"/>
          <w:szCs w:val="24"/>
          <w:lang w:val="en-US" w:eastAsia="zh-CN"/>
        </w:rPr>
        <w:t>——浙江华川实业集团有限公司（2025年）</w:t>
      </w:r>
    </w:p>
    <w:p w14:paraId="35D3F476">
      <w:pPr>
        <w:rPr>
          <w:rFonts w:hint="eastAsia"/>
          <w:sz w:val="24"/>
          <w:szCs w:val="24"/>
          <w:lang w:val="en-US" w:eastAsia="zh-CN"/>
        </w:rPr>
      </w:pPr>
      <w:r>
        <w:rPr>
          <w:rFonts w:hint="eastAsia"/>
          <w:sz w:val="24"/>
          <w:szCs w:val="24"/>
          <w:lang w:val="en-US" w:eastAsia="zh-CN"/>
        </w:rPr>
        <w:t>52义乌市工业企业五十强</w:t>
      </w:r>
    </w:p>
    <w:p w14:paraId="23961099">
      <w:pPr>
        <w:rPr>
          <w:rFonts w:hint="eastAsia"/>
          <w:sz w:val="24"/>
          <w:szCs w:val="24"/>
          <w:lang w:val="en-US" w:eastAsia="zh-CN"/>
        </w:rPr>
      </w:pPr>
      <w:r>
        <w:rPr>
          <w:rFonts w:hint="eastAsia"/>
          <w:sz w:val="24"/>
          <w:szCs w:val="24"/>
          <w:lang w:val="en-US" w:eastAsia="zh-CN"/>
        </w:rPr>
        <w:t>——浙江华川实业集团有限公司（2025年）</w:t>
      </w:r>
    </w:p>
    <w:p w14:paraId="0E374CC3">
      <w:pPr>
        <w:rPr>
          <w:rFonts w:hint="default"/>
          <w:sz w:val="24"/>
          <w:szCs w:val="24"/>
          <w:lang w:val="en-US" w:eastAsia="zh-CN"/>
        </w:rPr>
      </w:pPr>
      <w:bookmarkStart w:id="11" w:name="_GoBack"/>
      <w:bookmarkEnd w:id="11"/>
    </w:p>
    <w:p w14:paraId="494C3D7D">
      <w:pPr>
        <w:rPr>
          <w:rFonts w:hint="default"/>
          <w:sz w:val="24"/>
          <w:szCs w:val="24"/>
          <w:lang w:val="en-US" w:eastAsia="zh-CN"/>
        </w:rPr>
      </w:pPr>
    </w:p>
    <w:p w14:paraId="2EBC8740">
      <w:pPr>
        <w:rPr>
          <w:rFonts w:hint="default"/>
          <w:sz w:val="24"/>
          <w:szCs w:val="24"/>
          <w:lang w:val="en-US" w:eastAsia="zh-CN"/>
        </w:rPr>
      </w:pPr>
    </w:p>
    <w:p w14:paraId="14617E72">
      <w:pPr>
        <w:rPr>
          <w:rFonts w:hint="default"/>
          <w:sz w:val="24"/>
          <w:szCs w:val="24"/>
          <w:lang w:val="en-US" w:eastAsia="zh-CN"/>
        </w:rPr>
      </w:pPr>
    </w:p>
    <w:p w14:paraId="5045EC7E">
      <w:pPr>
        <w:rPr>
          <w:rFonts w:hint="eastAsia"/>
          <w:sz w:val="24"/>
          <w:szCs w:val="24"/>
        </w:rPr>
      </w:pPr>
    </w:p>
    <w:p w14:paraId="6CEE329D">
      <w:pPr>
        <w:rPr>
          <w:rFonts w:hint="default"/>
          <w:sz w:val="24"/>
          <w:szCs w:val="24"/>
          <w:lang w:val="en-US" w:eastAsia="zh-CN"/>
        </w:rPr>
      </w:pPr>
    </w:p>
    <w:p w14:paraId="0B0D8B7E">
      <w:pPr>
        <w:widowControl/>
        <w:jc w:val="left"/>
        <w:rPr>
          <w:rFonts w:ascii="宋体" w:cs="Helvetica"/>
          <w:b/>
          <w:bCs/>
          <w:color w:val="000000"/>
          <w:kern w:val="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Narrow">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mp;quot">
    <w:altName w:val="Cambria"/>
    <w:panose1 w:val="00000000000000000000"/>
    <w:charset w:val="00"/>
    <w:family w:val="roman"/>
    <w:pitch w:val="default"/>
    <w:sig w:usb0="00000000" w:usb1="00000000" w:usb2="00000000" w:usb3="00000000" w:csb0="00000000" w:csb1="00000000"/>
  </w:font>
  <w:font w:name="FangSong_GB2312">
    <w:altName w:val="仿宋"/>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9F7E5"/>
    <w:multiLevelType w:val="singleLevel"/>
    <w:tmpl w:val="E579F7E5"/>
    <w:lvl w:ilvl="0" w:tentative="0">
      <w:start w:val="1"/>
      <w:numFmt w:val="decimal"/>
      <w:lvlText w:val="%1."/>
      <w:lvlJc w:val="left"/>
      <w:pPr>
        <w:ind w:left="425" w:hanging="425"/>
      </w:pPr>
      <w:rPr>
        <w:rFonts w:hint="default"/>
      </w:rPr>
    </w:lvl>
  </w:abstractNum>
  <w:abstractNum w:abstractNumId="1">
    <w:nsid w:val="559B5F14"/>
    <w:multiLevelType w:val="multilevel"/>
    <w:tmpl w:val="559B5F14"/>
    <w:lvl w:ilvl="0" w:tentative="0">
      <w:start w:val="1"/>
      <w:numFmt w:val="decimal"/>
      <w:lvlText w:val="%1、"/>
      <w:lvlJc w:val="left"/>
      <w:pPr>
        <w:tabs>
          <w:tab w:val="left" w:pos="0"/>
        </w:tabs>
        <w:ind w:left="360" w:hanging="360"/>
      </w:pPr>
      <w:rPr>
        <w:rFonts w:hint="default" w:ascii="Calibri" w:hAnsi="Calibri" w:cs="Calibri"/>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C64126"/>
    <w:rsid w:val="00017E0C"/>
    <w:rsid w:val="00026B6A"/>
    <w:rsid w:val="0003382D"/>
    <w:rsid w:val="0003666B"/>
    <w:rsid w:val="000543B7"/>
    <w:rsid w:val="000667A9"/>
    <w:rsid w:val="00072A52"/>
    <w:rsid w:val="00073F19"/>
    <w:rsid w:val="000A6234"/>
    <w:rsid w:val="000D00A2"/>
    <w:rsid w:val="000D6877"/>
    <w:rsid w:val="000E6362"/>
    <w:rsid w:val="001115DC"/>
    <w:rsid w:val="00116537"/>
    <w:rsid w:val="00116975"/>
    <w:rsid w:val="00133C7E"/>
    <w:rsid w:val="001462DE"/>
    <w:rsid w:val="00146E35"/>
    <w:rsid w:val="0015365E"/>
    <w:rsid w:val="00173419"/>
    <w:rsid w:val="00195E5C"/>
    <w:rsid w:val="001A5F9D"/>
    <w:rsid w:val="001B2587"/>
    <w:rsid w:val="001C0A81"/>
    <w:rsid w:val="001D07FC"/>
    <w:rsid w:val="001D2C8F"/>
    <w:rsid w:val="00226776"/>
    <w:rsid w:val="00243AFE"/>
    <w:rsid w:val="002701BF"/>
    <w:rsid w:val="00271AA7"/>
    <w:rsid w:val="002907AC"/>
    <w:rsid w:val="002B471A"/>
    <w:rsid w:val="002C0E2D"/>
    <w:rsid w:val="002C259E"/>
    <w:rsid w:val="002E2F93"/>
    <w:rsid w:val="003030AB"/>
    <w:rsid w:val="003078AF"/>
    <w:rsid w:val="00334957"/>
    <w:rsid w:val="00392966"/>
    <w:rsid w:val="003A68E2"/>
    <w:rsid w:val="003A7DD9"/>
    <w:rsid w:val="003D641E"/>
    <w:rsid w:val="00440F20"/>
    <w:rsid w:val="00455916"/>
    <w:rsid w:val="00460B9B"/>
    <w:rsid w:val="004654D7"/>
    <w:rsid w:val="004904D5"/>
    <w:rsid w:val="004B7A1D"/>
    <w:rsid w:val="004C300D"/>
    <w:rsid w:val="004E0D5B"/>
    <w:rsid w:val="004E4388"/>
    <w:rsid w:val="004E538D"/>
    <w:rsid w:val="004F5809"/>
    <w:rsid w:val="004F671C"/>
    <w:rsid w:val="005110BB"/>
    <w:rsid w:val="005571D9"/>
    <w:rsid w:val="005848E1"/>
    <w:rsid w:val="0058570B"/>
    <w:rsid w:val="005A2277"/>
    <w:rsid w:val="005B724B"/>
    <w:rsid w:val="005C1BA4"/>
    <w:rsid w:val="005C2E32"/>
    <w:rsid w:val="005C37F6"/>
    <w:rsid w:val="005D5E5B"/>
    <w:rsid w:val="005F4DBD"/>
    <w:rsid w:val="005F6FB9"/>
    <w:rsid w:val="005F70D5"/>
    <w:rsid w:val="00625108"/>
    <w:rsid w:val="00627553"/>
    <w:rsid w:val="00664017"/>
    <w:rsid w:val="006B025D"/>
    <w:rsid w:val="006B230B"/>
    <w:rsid w:val="006B7A24"/>
    <w:rsid w:val="006C3C56"/>
    <w:rsid w:val="006C6321"/>
    <w:rsid w:val="006E45AE"/>
    <w:rsid w:val="007054F6"/>
    <w:rsid w:val="00727C06"/>
    <w:rsid w:val="007304D4"/>
    <w:rsid w:val="00741DB5"/>
    <w:rsid w:val="00753D6B"/>
    <w:rsid w:val="007571A8"/>
    <w:rsid w:val="007650FA"/>
    <w:rsid w:val="00780625"/>
    <w:rsid w:val="00787F52"/>
    <w:rsid w:val="007915D7"/>
    <w:rsid w:val="007A3BD4"/>
    <w:rsid w:val="007B1716"/>
    <w:rsid w:val="007C0BAF"/>
    <w:rsid w:val="007C4113"/>
    <w:rsid w:val="007E1E4B"/>
    <w:rsid w:val="00847180"/>
    <w:rsid w:val="00876257"/>
    <w:rsid w:val="00884815"/>
    <w:rsid w:val="0088716A"/>
    <w:rsid w:val="00891216"/>
    <w:rsid w:val="008931BC"/>
    <w:rsid w:val="008C7D4A"/>
    <w:rsid w:val="009637A3"/>
    <w:rsid w:val="00982ADA"/>
    <w:rsid w:val="009B6959"/>
    <w:rsid w:val="009C4A9E"/>
    <w:rsid w:val="009D2805"/>
    <w:rsid w:val="009F1E76"/>
    <w:rsid w:val="00A052A5"/>
    <w:rsid w:val="00A172EF"/>
    <w:rsid w:val="00A41714"/>
    <w:rsid w:val="00A42793"/>
    <w:rsid w:val="00A51434"/>
    <w:rsid w:val="00A52401"/>
    <w:rsid w:val="00A533B8"/>
    <w:rsid w:val="00A809A9"/>
    <w:rsid w:val="00A909F5"/>
    <w:rsid w:val="00AA080C"/>
    <w:rsid w:val="00AA33D2"/>
    <w:rsid w:val="00AB00DD"/>
    <w:rsid w:val="00AD7E3D"/>
    <w:rsid w:val="00B45F8B"/>
    <w:rsid w:val="00B564BA"/>
    <w:rsid w:val="00B67FB2"/>
    <w:rsid w:val="00B81DDE"/>
    <w:rsid w:val="00B82EBC"/>
    <w:rsid w:val="00B8446C"/>
    <w:rsid w:val="00BA2F39"/>
    <w:rsid w:val="00BC0460"/>
    <w:rsid w:val="00BD0119"/>
    <w:rsid w:val="00BD0D67"/>
    <w:rsid w:val="00BD31E3"/>
    <w:rsid w:val="00BF3CCE"/>
    <w:rsid w:val="00C42C06"/>
    <w:rsid w:val="00C44CDE"/>
    <w:rsid w:val="00C64126"/>
    <w:rsid w:val="00CA224B"/>
    <w:rsid w:val="00CB6AAD"/>
    <w:rsid w:val="00CD24CA"/>
    <w:rsid w:val="00CE76DC"/>
    <w:rsid w:val="00CF0267"/>
    <w:rsid w:val="00D304F9"/>
    <w:rsid w:val="00D420BA"/>
    <w:rsid w:val="00D446AB"/>
    <w:rsid w:val="00D52FB5"/>
    <w:rsid w:val="00D72CB3"/>
    <w:rsid w:val="00DD015A"/>
    <w:rsid w:val="00DD4EB3"/>
    <w:rsid w:val="00E03AC4"/>
    <w:rsid w:val="00E17A2B"/>
    <w:rsid w:val="00E30051"/>
    <w:rsid w:val="00E621ED"/>
    <w:rsid w:val="00E6363B"/>
    <w:rsid w:val="00E864E3"/>
    <w:rsid w:val="00E90029"/>
    <w:rsid w:val="00EE1817"/>
    <w:rsid w:val="00EE523F"/>
    <w:rsid w:val="00EF19A0"/>
    <w:rsid w:val="00F126AC"/>
    <w:rsid w:val="00F30982"/>
    <w:rsid w:val="00F31566"/>
    <w:rsid w:val="00F63D25"/>
    <w:rsid w:val="00F8192F"/>
    <w:rsid w:val="00F947DE"/>
    <w:rsid w:val="00FC2B7B"/>
    <w:rsid w:val="00FC2CB1"/>
    <w:rsid w:val="00FD0F1C"/>
    <w:rsid w:val="00FD1979"/>
    <w:rsid w:val="00FD2842"/>
    <w:rsid w:val="00FF0C73"/>
    <w:rsid w:val="00FF3260"/>
    <w:rsid w:val="0F1651EC"/>
    <w:rsid w:val="126F2404"/>
    <w:rsid w:val="3AFD037E"/>
    <w:rsid w:val="3B702E61"/>
    <w:rsid w:val="411F72CF"/>
    <w:rsid w:val="5A601E9A"/>
    <w:rsid w:val="5B092532"/>
    <w:rsid w:val="7071326B"/>
    <w:rsid w:val="72602ED0"/>
    <w:rsid w:val="794B223C"/>
    <w:rsid w:val="7A4A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libri Light" w:hAnsi="Calibri Light" w:cs="Times New Roman"/>
      <w:b/>
      <w:bCs/>
      <w:sz w:val="32"/>
      <w:szCs w:val="32"/>
    </w:rPr>
  </w:style>
  <w:style w:type="paragraph" w:styleId="4">
    <w:name w:val="heading 3"/>
    <w:basedOn w:val="1"/>
    <w:next w:val="1"/>
    <w:qFormat/>
    <w:uiPriority w:val="0"/>
    <w:pPr>
      <w:keepNext/>
      <w:keepLines/>
      <w:spacing w:before="60" w:after="60"/>
      <w:outlineLvl w:val="2"/>
    </w:pPr>
    <w:rPr>
      <w:rFonts w:cs="Times New Roman"/>
      <w:b/>
      <w:bCs/>
      <w:szCs w:val="32"/>
    </w:rPr>
  </w:style>
  <w:style w:type="paragraph" w:styleId="5">
    <w:name w:val="heading 4"/>
    <w:basedOn w:val="1"/>
    <w:next w:val="1"/>
    <w:uiPriority w:val="0"/>
    <w:pPr>
      <w:keepNext/>
      <w:keepLines/>
      <w:spacing w:before="60" w:after="60"/>
      <w:outlineLvl w:val="3"/>
    </w:pPr>
    <w:rPr>
      <w:rFonts w:ascii="Cambria" w:hAnsi="Cambria" w:cs="Times New Roman"/>
      <w:b/>
      <w:bCs/>
      <w:szCs w:val="28"/>
    </w:rPr>
  </w:style>
  <w:style w:type="paragraph" w:styleId="6">
    <w:name w:val="heading 5"/>
    <w:basedOn w:val="1"/>
    <w:next w:val="1"/>
    <w:uiPriority w:val="0"/>
    <w:pPr>
      <w:keepNext/>
      <w:keepLines/>
      <w:spacing w:before="60" w:after="60"/>
      <w:outlineLvl w:val="4"/>
    </w:pPr>
    <w:rPr>
      <w:rFonts w:cs="Times New Roman"/>
      <w:b/>
      <w:bCs/>
      <w:szCs w:val="28"/>
    </w:rPr>
  </w:style>
  <w:style w:type="paragraph" w:styleId="7">
    <w:name w:val="heading 6"/>
    <w:basedOn w:val="1"/>
    <w:next w:val="1"/>
    <w:qFormat/>
    <w:uiPriority w:val="0"/>
    <w:pPr>
      <w:keepNext/>
      <w:keepLines/>
      <w:widowControl/>
      <w:spacing w:before="60" w:after="60"/>
      <w:jc w:val="left"/>
      <w:outlineLvl w:val="5"/>
    </w:pPr>
    <w:rPr>
      <w:rFonts w:ascii="Calibri Light" w:hAnsi="Calibri Light" w:cs="Times New Roman"/>
      <w:b/>
      <w:bCs/>
      <w:kern w:val="0"/>
      <w:szCs w:val="24"/>
    </w:rPr>
  </w:style>
  <w:style w:type="paragraph" w:styleId="8">
    <w:name w:val="heading 7"/>
    <w:basedOn w:val="1"/>
    <w:next w:val="1"/>
    <w:qFormat/>
    <w:uiPriority w:val="0"/>
    <w:pPr>
      <w:keepNext/>
      <w:keepLines/>
      <w:widowControl/>
      <w:spacing w:before="240" w:after="64" w:line="319" w:lineRule="auto"/>
      <w:jc w:val="left"/>
      <w:outlineLvl w:val="6"/>
    </w:pPr>
    <w:rPr>
      <w:rFonts w:ascii="宋体" w:cs="宋体"/>
      <w:b/>
      <w:bCs/>
      <w:kern w:val="0"/>
      <w:sz w:val="24"/>
      <w:szCs w:val="24"/>
    </w:rPr>
  </w:style>
  <w:style w:type="character" w:default="1" w:styleId="38">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200" w:leftChars="1200"/>
    </w:pPr>
  </w:style>
  <w:style w:type="paragraph" w:styleId="10">
    <w:name w:val="Note Heading"/>
    <w:basedOn w:val="1"/>
    <w:next w:val="1"/>
    <w:qFormat/>
    <w:uiPriority w:val="0"/>
    <w:pPr>
      <w:jc w:val="center"/>
    </w:pPr>
    <w:rPr>
      <w:rFonts w:ascii="Times New Roman" w:hAnsi="Times New Roman" w:cs="Times New Roman"/>
      <w:szCs w:val="21"/>
    </w:rPr>
  </w:style>
  <w:style w:type="paragraph" w:styleId="11">
    <w:name w:val="Normal Indent"/>
    <w:basedOn w:val="1"/>
    <w:qFormat/>
    <w:uiPriority w:val="0"/>
    <w:pPr>
      <w:ind w:firstLine="200" w:firstLineChars="200"/>
    </w:pPr>
    <w:rPr>
      <w:rFonts w:ascii="Times New Roman" w:hAnsi="Times New Roman" w:cs="Times New Roman"/>
      <w:szCs w:val="21"/>
    </w:rPr>
  </w:style>
  <w:style w:type="paragraph" w:styleId="12">
    <w:name w:val="caption"/>
    <w:basedOn w:val="1"/>
    <w:next w:val="1"/>
    <w:qFormat/>
    <w:uiPriority w:val="0"/>
    <w:rPr>
      <w:rFonts w:ascii="Calibri Light" w:hAnsi="Calibri Light" w:eastAsia="黑体" w:cs="Times New Roman"/>
      <w:sz w:val="20"/>
      <w:szCs w:val="20"/>
    </w:rPr>
  </w:style>
  <w:style w:type="paragraph" w:styleId="13">
    <w:name w:val="Document Map"/>
    <w:basedOn w:val="1"/>
    <w:qFormat/>
    <w:uiPriority w:val="0"/>
    <w:rPr>
      <w:rFonts w:ascii="宋体" w:cs="Times New Roman"/>
      <w:sz w:val="18"/>
      <w:szCs w:val="18"/>
    </w:rPr>
  </w:style>
  <w:style w:type="paragraph" w:styleId="14">
    <w:name w:val="toa heading"/>
    <w:basedOn w:val="1"/>
    <w:next w:val="1"/>
    <w:qFormat/>
    <w:uiPriority w:val="0"/>
    <w:pPr>
      <w:spacing w:before="120"/>
    </w:pPr>
    <w:rPr>
      <w:rFonts w:ascii="Arial" w:hAnsi="Arial" w:cs="Times New Roman"/>
      <w:b/>
      <w:bCs/>
      <w:szCs w:val="21"/>
    </w:rPr>
  </w:style>
  <w:style w:type="paragraph" w:styleId="15">
    <w:name w:val="annotation text"/>
    <w:basedOn w:val="1"/>
    <w:qFormat/>
    <w:uiPriority w:val="0"/>
    <w:pPr>
      <w:jc w:val="left"/>
    </w:pPr>
  </w:style>
  <w:style w:type="paragraph" w:styleId="16">
    <w:name w:val="Salutation"/>
    <w:basedOn w:val="1"/>
    <w:next w:val="1"/>
    <w:qFormat/>
    <w:uiPriority w:val="0"/>
    <w:rPr>
      <w:rFonts w:ascii="Times New Roman" w:hAnsi="Times New Roman" w:cs="Times New Roman"/>
      <w:szCs w:val="21"/>
    </w:rPr>
  </w:style>
  <w:style w:type="paragraph" w:styleId="17">
    <w:name w:val="List Bullet 3"/>
    <w:basedOn w:val="1"/>
    <w:qFormat/>
    <w:uiPriority w:val="0"/>
    <w:pPr>
      <w:tabs>
        <w:tab w:val="left" w:pos="1200"/>
      </w:tabs>
    </w:pPr>
    <w:rPr>
      <w:rFonts w:ascii="Times New Roman" w:hAnsi="Times New Roman" w:cs="Times New Roman"/>
      <w:szCs w:val="21"/>
    </w:rPr>
  </w:style>
  <w:style w:type="paragraph" w:styleId="18">
    <w:name w:val="Body Text"/>
    <w:basedOn w:val="1"/>
    <w:qFormat/>
    <w:uiPriority w:val="0"/>
    <w:pPr>
      <w:spacing w:after="120"/>
    </w:pPr>
    <w:rPr>
      <w:rFonts w:ascii="Times New Roman" w:hAnsi="Times New Roman" w:cs="Times New Roman"/>
      <w:szCs w:val="21"/>
    </w:rPr>
  </w:style>
  <w:style w:type="paragraph" w:styleId="19">
    <w:name w:val="toc 5"/>
    <w:basedOn w:val="1"/>
    <w:next w:val="1"/>
    <w:qFormat/>
    <w:uiPriority w:val="0"/>
    <w:pPr>
      <w:ind w:left="800" w:leftChars="800"/>
    </w:pPr>
  </w:style>
  <w:style w:type="paragraph" w:styleId="20">
    <w:name w:val="toc 3"/>
    <w:basedOn w:val="1"/>
    <w:next w:val="1"/>
    <w:qFormat/>
    <w:uiPriority w:val="0"/>
    <w:pPr>
      <w:widowControl/>
      <w:spacing w:after="100" w:line="276" w:lineRule="auto"/>
      <w:ind w:left="440"/>
      <w:jc w:val="left"/>
    </w:pPr>
    <w:rPr>
      <w:rFonts w:cs="Times New Roman"/>
      <w:kern w:val="0"/>
      <w:sz w:val="22"/>
    </w:rPr>
  </w:style>
  <w:style w:type="paragraph" w:styleId="21">
    <w:name w:val="Plain Text"/>
    <w:basedOn w:val="1"/>
    <w:link w:val="62"/>
    <w:qFormat/>
    <w:uiPriority w:val="0"/>
    <w:rPr>
      <w:rFonts w:ascii="宋体" w:cs="Times New Roman"/>
      <w:szCs w:val="20"/>
    </w:rPr>
  </w:style>
  <w:style w:type="paragraph" w:styleId="22">
    <w:name w:val="toc 8"/>
    <w:basedOn w:val="1"/>
    <w:next w:val="1"/>
    <w:qFormat/>
    <w:uiPriority w:val="0"/>
    <w:pPr>
      <w:ind w:left="1400" w:leftChars="1400"/>
    </w:pPr>
  </w:style>
  <w:style w:type="paragraph" w:styleId="23">
    <w:name w:val="Date"/>
    <w:basedOn w:val="1"/>
    <w:next w:val="1"/>
    <w:qFormat/>
    <w:uiPriority w:val="0"/>
    <w:pPr>
      <w:ind w:left="2500" w:leftChars="2500"/>
    </w:pPr>
    <w:rPr>
      <w:rFonts w:ascii="Times New Roman" w:hAnsi="Times New Roman" w:cs="Times New Roman"/>
      <w:szCs w:val="21"/>
    </w:rPr>
  </w:style>
  <w:style w:type="paragraph" w:styleId="24">
    <w:name w:val="endnote text"/>
    <w:basedOn w:val="1"/>
    <w:qFormat/>
    <w:uiPriority w:val="0"/>
    <w:pPr>
      <w:widowControl/>
      <w:snapToGrid w:val="0"/>
      <w:jc w:val="left"/>
    </w:pPr>
    <w:rPr>
      <w:rFonts w:ascii="宋体" w:cs="宋体"/>
      <w:kern w:val="0"/>
      <w:szCs w:val="24"/>
    </w:r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style>
  <w:style w:type="paragraph" w:styleId="29">
    <w:name w:val="toc 4"/>
    <w:basedOn w:val="1"/>
    <w:next w:val="1"/>
    <w:qFormat/>
    <w:uiPriority w:val="0"/>
    <w:pPr>
      <w:ind w:left="600" w:leftChars="600"/>
    </w:pPr>
  </w:style>
  <w:style w:type="paragraph" w:styleId="30">
    <w:name w:val="toc 6"/>
    <w:basedOn w:val="1"/>
    <w:next w:val="1"/>
    <w:qFormat/>
    <w:uiPriority w:val="0"/>
    <w:pPr>
      <w:ind w:left="1000" w:leftChars="1000"/>
    </w:pPr>
  </w:style>
  <w:style w:type="paragraph" w:styleId="31">
    <w:name w:val="toc 2"/>
    <w:basedOn w:val="1"/>
    <w:next w:val="1"/>
    <w:qFormat/>
    <w:uiPriority w:val="0"/>
    <w:pPr>
      <w:ind w:left="200" w:leftChars="200"/>
    </w:pPr>
  </w:style>
  <w:style w:type="paragraph" w:styleId="32">
    <w:name w:val="toc 9"/>
    <w:basedOn w:val="1"/>
    <w:next w:val="1"/>
    <w:qFormat/>
    <w:uiPriority w:val="0"/>
    <w:pPr>
      <w:ind w:left="1600" w:leftChars="1600"/>
    </w:pPr>
  </w:style>
  <w:style w:type="paragraph" w:styleId="33">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34">
    <w:name w:val="index 1"/>
    <w:basedOn w:val="1"/>
    <w:next w:val="1"/>
    <w:qFormat/>
    <w:uiPriority w:val="0"/>
    <w:pPr>
      <w:widowControl/>
      <w:ind w:firstLine="200" w:firstLineChars="200"/>
      <w:jc w:val="left"/>
    </w:pPr>
    <w:rPr>
      <w:rFonts w:ascii="宋体" w:cs="Times New Roman"/>
      <w:color w:val="000000"/>
      <w:kern w:val="0"/>
      <w:szCs w:val="21"/>
    </w:rPr>
  </w:style>
  <w:style w:type="paragraph" w:styleId="35">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36">
    <w:name w:val="annotation subject"/>
    <w:basedOn w:val="15"/>
    <w:next w:val="15"/>
    <w:qFormat/>
    <w:uiPriority w:val="0"/>
    <w:rPr>
      <w:b/>
      <w:bCs/>
    </w:rPr>
  </w:style>
  <w:style w:type="character" w:styleId="39">
    <w:name w:val="endnote reference"/>
    <w:basedOn w:val="38"/>
    <w:qFormat/>
    <w:uiPriority w:val="0"/>
    <w:rPr>
      <w:vertAlign w:val="superscript"/>
    </w:rPr>
  </w:style>
  <w:style w:type="character" w:styleId="40">
    <w:name w:val="Hyperlink"/>
    <w:basedOn w:val="38"/>
    <w:qFormat/>
    <w:uiPriority w:val="0"/>
    <w:rPr>
      <w:color w:val="0563C1"/>
      <w:u w:val="single"/>
    </w:rPr>
  </w:style>
  <w:style w:type="character" w:styleId="41">
    <w:name w:val="annotation reference"/>
    <w:basedOn w:val="38"/>
    <w:qFormat/>
    <w:uiPriority w:val="0"/>
    <w:rPr>
      <w:sz w:val="21"/>
      <w:szCs w:val="21"/>
    </w:rPr>
  </w:style>
  <w:style w:type="paragraph" w:customStyle="1" w:styleId="42">
    <w:name w:val="aSTL正文"/>
    <w:basedOn w:val="1"/>
    <w:qFormat/>
    <w:uiPriority w:val="0"/>
    <w:pPr>
      <w:spacing w:line="300" w:lineRule="auto"/>
      <w:ind w:firstLine="200" w:firstLineChars="200"/>
    </w:pPr>
    <w:rPr>
      <w:rFonts w:cs="Times New Roman"/>
      <w:kern w:val="0"/>
      <w:sz w:val="24"/>
      <w:szCs w:val="20"/>
      <w:lang w:val="zh-CN"/>
    </w:rPr>
  </w:style>
  <w:style w:type="paragraph" w:customStyle="1" w:styleId="43">
    <w:name w:val="4.1.1.1.1"/>
    <w:basedOn w:val="1"/>
    <w:qFormat/>
    <w:uiPriority w:val="0"/>
    <w:pPr>
      <w:tabs>
        <w:tab w:val="left" w:pos="142"/>
      </w:tabs>
      <w:spacing w:beforeLines="50" w:afterLines="50"/>
      <w:ind w:left="200" w:leftChars="200"/>
      <w:jc w:val="left"/>
      <w:outlineLvl w:val="3"/>
    </w:pPr>
    <w:rPr>
      <w:rFonts w:ascii="宋体" w:cs="Times New Roman"/>
      <w:b/>
      <w:color w:val="000000"/>
      <w:kern w:val="0"/>
      <w:sz w:val="24"/>
      <w:szCs w:val="24"/>
      <w:lang w:val="zh-CN"/>
    </w:rPr>
  </w:style>
  <w:style w:type="paragraph" w:customStyle="1" w:styleId="44">
    <w:name w:val="列出段落1"/>
    <w:basedOn w:val="1"/>
    <w:qFormat/>
    <w:uiPriority w:val="0"/>
    <w:pPr>
      <w:ind w:firstLine="200" w:firstLineChars="200"/>
    </w:pPr>
    <w:rPr>
      <w:rFonts w:cs="Times New Roman"/>
    </w:rPr>
  </w:style>
  <w:style w:type="paragraph" w:customStyle="1" w:styleId="45">
    <w:name w:val="TOC 标题1"/>
    <w:basedOn w:val="2"/>
    <w:next w:val="1"/>
    <w:qFormat/>
    <w:uiPriority w:val="0"/>
    <w:pPr>
      <w:widowControl/>
      <w:spacing w:before="240" w:after="0" w:line="259" w:lineRule="auto"/>
      <w:jc w:val="left"/>
      <w:outlineLvl w:val="9"/>
    </w:pPr>
    <w:rPr>
      <w:rFonts w:ascii="Calibri Light" w:hAnsi="Calibri Light" w:cs="Times New Roman"/>
      <w:b w:val="0"/>
      <w:bCs w:val="0"/>
      <w:color w:val="2E74B5"/>
      <w:kern w:val="0"/>
      <w:sz w:val="32"/>
      <w:szCs w:val="32"/>
    </w:rPr>
  </w:style>
  <w:style w:type="character" w:customStyle="1" w:styleId="46">
    <w:name w:val="notnullcss1"/>
    <w:basedOn w:val="38"/>
    <w:qFormat/>
    <w:uiPriority w:val="0"/>
    <w:rPr>
      <w:rFonts w:eastAsia="宋体" w:cs="Times New Roman"/>
      <w:color w:val="FF0000"/>
      <w:kern w:val="2"/>
      <w:sz w:val="24"/>
      <w:szCs w:val="24"/>
      <w:lang w:val="en-US" w:eastAsia="zh-CN" w:bidi="ar-SA"/>
    </w:rPr>
  </w:style>
  <w:style w:type="paragraph" w:customStyle="1" w:styleId="47">
    <w:name w:val="xl61"/>
    <w:basedOn w:val="1"/>
    <w:qFormat/>
    <w:uiPriority w:val="0"/>
    <w:pPr>
      <w:widowControl/>
      <w:spacing w:before="100" w:after="100"/>
      <w:jc w:val="right"/>
    </w:pPr>
    <w:rPr>
      <w:rFonts w:ascii="Arial Unicode MS" w:hAnsi="Arial Unicode MS" w:eastAsia="Arial Unicode MS" w:cs="Times New Roman"/>
      <w:kern w:val="0"/>
      <w:sz w:val="18"/>
      <w:szCs w:val="18"/>
    </w:rPr>
  </w:style>
  <w:style w:type="character" w:customStyle="1" w:styleId="48">
    <w:name w:val="headline-content2"/>
    <w:basedOn w:val="38"/>
    <w:qFormat/>
    <w:uiPriority w:val="0"/>
    <w:rPr>
      <w:rFonts w:eastAsia="宋体" w:cs="Times New Roman"/>
      <w:kern w:val="2"/>
      <w:sz w:val="24"/>
      <w:szCs w:val="24"/>
      <w:lang w:val="en-US" w:eastAsia="zh-CN" w:bidi="ar-SA"/>
    </w:rPr>
  </w:style>
  <w:style w:type="paragraph" w:customStyle="1" w:styleId="49">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cs="Times New Roman"/>
      <w:kern w:val="0"/>
      <w:szCs w:val="24"/>
      <w:lang w:val="en-AU"/>
    </w:rPr>
  </w:style>
  <w:style w:type="paragraph" w:customStyle="1" w:styleId="50">
    <w:name w:val="标题5"/>
    <w:basedOn w:val="1"/>
    <w:qFormat/>
    <w:uiPriority w:val="0"/>
    <w:pPr>
      <w:keepNext/>
      <w:keepLines/>
      <w:spacing w:before="60" w:after="60"/>
      <w:ind w:left="200" w:hanging="200" w:hangingChars="200"/>
      <w:outlineLvl w:val="4"/>
    </w:pPr>
    <w:rPr>
      <w:rFonts w:ascii="宋体" w:cs="Times New Roman"/>
      <w:b/>
      <w:bCs/>
      <w:szCs w:val="21"/>
    </w:rPr>
  </w:style>
  <w:style w:type="paragraph" w:customStyle="1" w:styleId="51">
    <w:name w:val="修订1"/>
    <w:qFormat/>
    <w:uiPriority w:val="0"/>
    <w:rPr>
      <w:rFonts w:ascii="Calibri" w:hAnsi="Calibri" w:eastAsia="宋体" w:cs="Times New Roman"/>
      <w:kern w:val="2"/>
      <w:sz w:val="21"/>
      <w:szCs w:val="22"/>
      <w:lang w:val="en-US" w:eastAsia="zh-CN" w:bidi="ar-SA"/>
    </w:rPr>
  </w:style>
  <w:style w:type="paragraph" w:customStyle="1" w:styleId="52">
    <w:name w:val="正文的样式"/>
    <w:basedOn w:val="1"/>
    <w:qFormat/>
    <w:uiPriority w:val="0"/>
    <w:pPr>
      <w:spacing w:before="100" w:after="100"/>
    </w:pPr>
    <w:rPr>
      <w:szCs w:val="24"/>
    </w:rPr>
  </w:style>
  <w:style w:type="character" w:customStyle="1" w:styleId="53">
    <w:name w:val="占位符文本1"/>
    <w:basedOn w:val="38"/>
    <w:qFormat/>
    <w:uiPriority w:val="0"/>
    <w:rPr>
      <w:color w:val="auto"/>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主题 Char1"/>
    <w:qFormat/>
    <w:uiPriority w:val="0"/>
    <w:rPr>
      <w:rFonts w:ascii="Times New Roman" w:hAnsi="Times New Roman" w:eastAsia="宋体" w:cs="Times New Roman"/>
      <w:b/>
      <w:bCs/>
      <w:szCs w:val="21"/>
    </w:rPr>
  </w:style>
  <w:style w:type="character" w:customStyle="1" w:styleId="56">
    <w:name w:val="span_"/>
    <w:basedOn w:val="38"/>
    <w:qFormat/>
    <w:uiPriority w:val="0"/>
  </w:style>
  <w:style w:type="paragraph" w:customStyle="1" w:styleId="57">
    <w:name w:val="标题  3"/>
    <w:basedOn w:val="1"/>
    <w:next w:val="1"/>
    <w:qFormat/>
    <w:uiPriority w:val="0"/>
    <w:pPr>
      <w:keepNext/>
      <w:keepLines/>
      <w:spacing w:before="100" w:beforeAutospacing="1" w:after="100" w:afterAutospacing="1" w:line="415" w:lineRule="auto"/>
    </w:pPr>
    <w:rPr>
      <w:rFonts w:ascii="Times New Roman" w:hAnsi="Times New Roman" w:cs="Times New Roman"/>
      <w:b/>
      <w:szCs w:val="24"/>
    </w:rPr>
  </w:style>
  <w:style w:type="paragraph" w:customStyle="1" w:styleId="58">
    <w:name w:val="列出段落11"/>
    <w:basedOn w:val="1"/>
    <w:qFormat/>
    <w:uiPriority w:val="0"/>
    <w:pPr>
      <w:ind w:firstLine="200" w:firstLineChars="200"/>
    </w:pPr>
    <w:rPr>
      <w:rFonts w:cs="Calibri"/>
      <w:szCs w:val="21"/>
    </w:rPr>
  </w:style>
  <w:style w:type="paragraph" w:customStyle="1" w:styleId="59">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paragraph" w:customStyle="1" w:styleId="6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1">
    <w:name w:val="标题三"/>
    <w:basedOn w:val="1"/>
    <w:qFormat/>
    <w:uiPriority w:val="0"/>
    <w:pPr>
      <w:spacing w:line="360" w:lineRule="auto"/>
      <w:jc w:val="left"/>
      <w:outlineLvl w:val="2"/>
    </w:pPr>
    <w:rPr>
      <w:rFonts w:ascii="Times New Roman" w:hAnsi="Times New Roman" w:cs="Times New Roman"/>
      <w:b/>
      <w:sz w:val="24"/>
      <w:szCs w:val="24"/>
    </w:rPr>
  </w:style>
  <w:style w:type="character" w:customStyle="1" w:styleId="62">
    <w:name w:val="纯文本 Char"/>
    <w:link w:val="21"/>
    <w:qFormat/>
    <w:uiPriority w:val="0"/>
    <w:rPr>
      <w:rFonts w:ascii="宋体" w:hAnsi="Calibri"/>
      <w:kern w:val="2"/>
      <w:sz w:val="21"/>
    </w:rPr>
  </w:style>
  <w:style w:type="character" w:customStyle="1" w:styleId="63">
    <w:name w:val="NormalCharacter"/>
    <w:qFormat/>
    <w:uiPriority w:val="0"/>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1906EF2-8B19-45FE-9A74-069ABBF9A392}" type="doc">
      <dgm:prSet loTypeId="urn:microsoft.com/office/officeart/2005/8/layout/orgChart1#1" loCatId="hierarchy" qsTypeId="urn:microsoft.com/office/officeart/2005/8/quickstyle/simple3#1" qsCatId="simple" csTypeId="urn:microsoft.com/office/officeart/2005/8/colors/accent1_2#1" csCatId="accent1" phldr="1"/>
      <dgm:spPr/>
      <dgm:t>
        <a:bodyPr/>
        <a:p>
          <a:endParaRPr lang="zh-CN" altLang="en-US"/>
        </a:p>
      </dgm:t>
    </dgm:pt>
    <dgm:pt modelId="{908DBB4E-8224-4F5E-B7AD-E60839A3D094}">
      <dgm:prSet phldrT="[文本]"/>
      <dgm:spPr/>
      <dgm:t>
        <a:bodyPr/>
        <a:p>
          <a:pPr algn="ctr"/>
          <a:r>
            <a:rPr lang="zh-CN" altLang="en-US"/>
            <a:t>总经理</a:t>
          </a:r>
        </a:p>
      </dgm:t>
    </dgm:pt>
    <dgm:pt modelId="{590C9D26-BAAD-4A4A-8299-5C1A3B7CE1D7}" cxnId="{A5FF67A3-394D-497E-AD13-5D26D00D4272}" type="parTrans">
      <dgm:prSet/>
      <dgm:spPr/>
      <dgm:t>
        <a:bodyPr/>
        <a:p>
          <a:pPr algn="ctr"/>
          <a:endParaRPr lang="zh-CN" altLang="en-US"/>
        </a:p>
      </dgm:t>
    </dgm:pt>
    <dgm:pt modelId="{2FD681DA-974A-49DA-8F4B-475813EA76B7}" cxnId="{A5FF67A3-394D-497E-AD13-5D26D00D4272}" type="sibTrans">
      <dgm:prSet/>
      <dgm:spPr/>
      <dgm:t>
        <a:bodyPr/>
        <a:p>
          <a:pPr algn="ctr"/>
          <a:endParaRPr lang="zh-CN" altLang="en-US"/>
        </a:p>
      </dgm:t>
    </dgm:pt>
    <dgm:pt modelId="{6C48E407-3326-4F09-83BA-38E29D016726}" type="asst">
      <dgm:prSet phldrT="[文本]"/>
      <dgm:spPr/>
      <dgm:t>
        <a:bodyPr/>
        <a:p>
          <a:pPr algn="ctr"/>
          <a:r>
            <a:rPr lang="zh-CN" altLang="en-US"/>
            <a:t>管理者代表</a:t>
          </a:r>
        </a:p>
      </dgm:t>
    </dgm:pt>
    <dgm:pt modelId="{71D3B13F-28A0-48BE-87A2-3FACB7E16C1C}" cxnId="{684DDB5E-6F02-4538-9052-401F198D564A}" type="parTrans">
      <dgm:prSet/>
      <dgm:spPr/>
      <dgm:t>
        <a:bodyPr/>
        <a:p>
          <a:pPr algn="ctr"/>
          <a:endParaRPr lang="zh-CN" altLang="en-US"/>
        </a:p>
      </dgm:t>
    </dgm:pt>
    <dgm:pt modelId="{AC3580C1-5B63-4509-8F6E-F4482940B750}" cxnId="{684DDB5E-6F02-4538-9052-401F198D564A}" type="sibTrans">
      <dgm:prSet/>
      <dgm:spPr/>
      <dgm:t>
        <a:bodyPr/>
        <a:p>
          <a:pPr algn="ctr"/>
          <a:endParaRPr lang="zh-CN" altLang="en-US"/>
        </a:p>
      </dgm:t>
    </dgm:pt>
    <dgm:pt modelId="{BCE010E8-8E7C-4E63-8370-8773FFCE76A6}">
      <dgm:prSet phldrT="[文本]" phldr="0" custT="0"/>
      <dgm:spPr/>
      <dgm:t>
        <a:bodyPr vert="horz" wrap="square"/>
        <a:p>
          <a:pPr algn="ctr">
            <a:lnSpc>
              <a:spcPct val="100000"/>
            </a:lnSpc>
            <a:spcBef>
              <a:spcPct val="0"/>
            </a:spcBef>
            <a:spcAft>
              <a:spcPct val="35000"/>
            </a:spcAft>
          </a:pPr>
          <a:r>
            <a:rPr lang="zh-CN" altLang="zh-CN"/>
            <a:t>质检部</a:t>
          </a:r>
        </a:p>
      </dgm:t>
    </dgm:pt>
    <dgm:pt modelId="{F42427B9-4D8A-46E6-BCFB-FEF8134916D6}" cxnId="{979EDCB0-54BE-4A5F-8BE8-F1D2E440B0E3}" type="parTrans">
      <dgm:prSet/>
      <dgm:spPr/>
      <dgm:t>
        <a:bodyPr/>
        <a:p>
          <a:pPr algn="ctr"/>
          <a:endParaRPr lang="zh-CN" altLang="en-US"/>
        </a:p>
      </dgm:t>
    </dgm:pt>
    <dgm:pt modelId="{FDBD8D42-1B07-462C-AF32-59921C092201}" cxnId="{979EDCB0-54BE-4A5F-8BE8-F1D2E440B0E3}" type="sibTrans">
      <dgm:prSet/>
      <dgm:spPr/>
      <dgm:t>
        <a:bodyPr/>
        <a:p>
          <a:pPr algn="ctr"/>
          <a:endParaRPr lang="zh-CN" altLang="en-US"/>
        </a:p>
      </dgm:t>
    </dgm:pt>
    <dgm:pt modelId="{853A4688-B49E-471B-B2A9-7BE17431C769}">
      <dgm:prSet phldrT="[文本]"/>
      <dgm:spPr/>
      <dgm:t>
        <a:bodyPr/>
        <a:p>
          <a:pPr algn="ctr"/>
          <a:r>
            <a:rPr lang="zh-CN" altLang="en-US"/>
            <a:t>办公室</a:t>
          </a:r>
        </a:p>
      </dgm:t>
    </dgm:pt>
    <dgm:pt modelId="{A22D80F7-2CF1-45D4-88AA-3B58C07399B0}" cxnId="{E63CAF7A-5FE0-42FB-B8E5-95C21B48EDC5}" type="parTrans">
      <dgm:prSet/>
      <dgm:spPr/>
      <dgm:t>
        <a:bodyPr/>
        <a:p>
          <a:pPr algn="ctr"/>
          <a:endParaRPr lang="zh-CN" altLang="en-US"/>
        </a:p>
      </dgm:t>
    </dgm:pt>
    <dgm:pt modelId="{8F67FFA2-EA23-40F5-918E-D6416931D7E7}" cxnId="{E63CAF7A-5FE0-42FB-B8E5-95C21B48EDC5}" type="sibTrans">
      <dgm:prSet/>
      <dgm:spPr/>
      <dgm:t>
        <a:bodyPr/>
        <a:p>
          <a:pPr algn="ctr"/>
          <a:endParaRPr lang="zh-CN" altLang="en-US"/>
        </a:p>
      </dgm:t>
    </dgm:pt>
    <dgm:pt modelId="{B746464A-8B1A-4189-B6CB-FC71EA010BFC}">
      <dgm:prSet/>
      <dgm:spPr/>
      <dgm:t>
        <a:bodyPr/>
        <a:p>
          <a:pPr algn="ctr"/>
          <a:r>
            <a:rPr lang="zh-CN" altLang="en-US"/>
            <a:t>销售部</a:t>
          </a:r>
        </a:p>
      </dgm:t>
    </dgm:pt>
    <dgm:pt modelId="{294773D0-E686-4D71-83A8-2E345EF8E492}" cxnId="{6B28748E-8740-4637-844F-1CA09F252B70}" type="parTrans">
      <dgm:prSet/>
      <dgm:spPr/>
      <dgm:t>
        <a:bodyPr/>
        <a:p>
          <a:pPr algn="ctr"/>
          <a:endParaRPr lang="zh-CN" altLang="en-US"/>
        </a:p>
      </dgm:t>
    </dgm:pt>
    <dgm:pt modelId="{115E2A69-DC30-4844-B769-0A63C46ECB93}" cxnId="{6B28748E-8740-4637-844F-1CA09F252B70}" type="sibTrans">
      <dgm:prSet/>
      <dgm:spPr/>
      <dgm:t>
        <a:bodyPr/>
        <a:p>
          <a:pPr algn="ctr"/>
          <a:endParaRPr lang="zh-CN" altLang="en-US"/>
        </a:p>
      </dgm:t>
    </dgm:pt>
    <dgm:pt modelId="{ABA51730-EBEA-4DB9-888D-09E7F5C74EEB}">
      <dgm:prSet/>
      <dgm:spPr/>
      <dgm:t>
        <a:bodyPr/>
        <a:p>
          <a:pPr algn="ctr"/>
          <a:r>
            <a:rPr lang="zh-CN" altLang="en-US"/>
            <a:t>采购部</a:t>
          </a:r>
        </a:p>
      </dgm:t>
    </dgm:pt>
    <dgm:pt modelId="{4734D4BA-0E52-472E-9486-5352446C0770}" cxnId="{D2530FCD-59C1-49A9-ABD9-2D892ECB7444}" type="parTrans">
      <dgm:prSet/>
      <dgm:spPr/>
      <dgm:t>
        <a:bodyPr/>
        <a:p>
          <a:pPr algn="ctr"/>
          <a:endParaRPr lang="zh-CN" altLang="en-US"/>
        </a:p>
      </dgm:t>
    </dgm:pt>
    <dgm:pt modelId="{6F961191-95F8-461D-89B4-02B30293DB43}" cxnId="{D2530FCD-59C1-49A9-ABD9-2D892ECB7444}" type="sibTrans">
      <dgm:prSet/>
      <dgm:spPr/>
      <dgm:t>
        <a:bodyPr/>
        <a:p>
          <a:pPr algn="ctr"/>
          <a:endParaRPr lang="zh-CN" altLang="en-US"/>
        </a:p>
      </dgm:t>
    </dgm:pt>
    <dgm:pt modelId="{6B2E9C28-67A5-4B58-B2BB-54C0D84EA003}">
      <dgm:prSet/>
      <dgm:spPr/>
      <dgm:t>
        <a:bodyPr/>
        <a:p>
          <a:pPr algn="ctr"/>
          <a:r>
            <a:rPr lang="zh-CN" altLang="en-US"/>
            <a:t>生产部</a:t>
          </a:r>
        </a:p>
      </dgm:t>
    </dgm:pt>
    <dgm:pt modelId="{11324C43-3C3B-47D1-A87C-5CC0CEA50C9F}" cxnId="{C985A995-5DC4-4EDF-88BB-C4E15FF28D3F}" type="parTrans">
      <dgm:prSet/>
      <dgm:spPr/>
      <dgm:t>
        <a:bodyPr/>
        <a:p>
          <a:pPr algn="ctr"/>
          <a:endParaRPr lang="zh-CN" altLang="en-US"/>
        </a:p>
      </dgm:t>
    </dgm:pt>
    <dgm:pt modelId="{2CC78D60-B48D-4416-96CA-C6C7277A527D}" cxnId="{C985A995-5DC4-4EDF-88BB-C4E15FF28D3F}" type="sibTrans">
      <dgm:prSet/>
      <dgm:spPr/>
      <dgm:t>
        <a:bodyPr/>
        <a:p>
          <a:pPr algn="ctr"/>
          <a:endParaRPr lang="zh-CN" altLang="en-US"/>
        </a:p>
      </dgm:t>
    </dgm:pt>
    <dgm:pt modelId="{4272CC6D-C9D1-4FD5-9ACA-7427A55AE096}">
      <dgm:prSet phldr="0" custT="0"/>
      <dgm:spPr/>
      <dgm:t>
        <a:bodyPr vert="horz" wrap="square"/>
        <a:p>
          <a:pPr algn="ctr">
            <a:lnSpc>
              <a:spcPct val="100000"/>
            </a:lnSpc>
            <a:spcBef>
              <a:spcPct val="0"/>
            </a:spcBef>
            <a:spcAft>
              <a:spcPct val="35000"/>
            </a:spcAft>
          </a:pPr>
          <a:r>
            <a:rPr lang="zh-CN" altLang="en-US"/>
            <a:t>车间</a:t>
          </a:r>
          <a:endParaRPr/>
        </a:p>
      </dgm:t>
    </dgm:pt>
    <dgm:pt modelId="{198D1B20-11FB-4F8C-874F-0D842AFF4B0B}" cxnId="{4898BD85-A2B2-449F-AD77-46CA2F3D531B}" type="parTrans">
      <dgm:prSet/>
      <dgm:spPr/>
      <dgm:t>
        <a:bodyPr/>
        <a:p>
          <a:pPr algn="ctr"/>
          <a:endParaRPr lang="zh-CN" altLang="en-US"/>
        </a:p>
      </dgm:t>
    </dgm:pt>
    <dgm:pt modelId="{7FBA70BB-340F-4BAA-B244-6D3C881B7BFF}" cxnId="{4898BD85-A2B2-449F-AD77-46CA2F3D531B}" type="sibTrans">
      <dgm:prSet/>
      <dgm:spPr/>
      <dgm:t>
        <a:bodyPr/>
        <a:p>
          <a:pPr algn="ctr"/>
          <a:endParaRPr lang="zh-CN" altLang="en-US"/>
        </a:p>
      </dgm:t>
    </dgm:pt>
    <dgm:pt modelId="{2F9CFC00-3CA0-4518-B42C-73AD190652ED}">
      <dgm:prSet/>
      <dgm:spPr/>
      <dgm:t>
        <a:bodyPr/>
        <a:p>
          <a:pPr algn="ctr"/>
          <a:r>
            <a:rPr lang="zh-CN" altLang="en-US"/>
            <a:t>仓库</a:t>
          </a:r>
        </a:p>
      </dgm:t>
    </dgm:pt>
    <dgm:pt modelId="{8A821CC4-998F-47A3-AC9C-A57707F1F320}" cxnId="{6F79D7FD-7EE6-4F99-80DB-AF619E1B647D}" type="parTrans">
      <dgm:prSet/>
      <dgm:spPr/>
      <dgm:t>
        <a:bodyPr/>
        <a:p>
          <a:pPr algn="ctr"/>
          <a:endParaRPr lang="zh-CN" altLang="en-US"/>
        </a:p>
      </dgm:t>
    </dgm:pt>
    <dgm:pt modelId="{20831AA6-B0BB-48A6-BABF-DF167095C266}" cxnId="{6F79D7FD-7EE6-4F99-80DB-AF619E1B647D}" type="sibTrans">
      <dgm:prSet/>
      <dgm:spPr/>
      <dgm:t>
        <a:bodyPr/>
        <a:p>
          <a:pPr algn="ctr"/>
          <a:endParaRPr lang="zh-CN" altLang="en-US"/>
        </a:p>
      </dgm:t>
    </dgm:pt>
    <dgm:pt modelId="{86F42B52-5BEE-4236-9C18-C7527E42B229}">
      <dgm:prSet/>
      <dgm:spPr/>
      <dgm:t>
        <a:bodyPr/>
        <a:p>
          <a:pPr algn="ctr"/>
          <a:r>
            <a:rPr lang="zh-CN" altLang="en-US"/>
            <a:t>财务部</a:t>
          </a:r>
        </a:p>
      </dgm:t>
    </dgm:pt>
    <dgm:pt modelId="{4B6024E3-3702-4B13-BF46-8E8F8DF1532B}" cxnId="{0B45DFE5-6A5C-4B66-B958-841FF9989BA6}" type="parTrans">
      <dgm:prSet/>
      <dgm:spPr/>
      <dgm:t>
        <a:bodyPr/>
        <a:p>
          <a:pPr algn="ctr"/>
          <a:endParaRPr lang="zh-CN" altLang="en-US"/>
        </a:p>
      </dgm:t>
    </dgm:pt>
    <dgm:pt modelId="{7428BC5D-88A9-417F-A9C4-73A0830063F9}" cxnId="{0B45DFE5-6A5C-4B66-B958-841FF9989BA6}" type="sibTrans">
      <dgm:prSet/>
      <dgm:spPr/>
      <dgm:t>
        <a:bodyPr/>
        <a:p>
          <a:pPr algn="ctr"/>
          <a:endParaRPr lang="zh-CN" altLang="en-US"/>
        </a:p>
      </dgm:t>
    </dgm:pt>
    <dgm:pt modelId="{1B8134E1-B6EA-491B-A7A6-D9F7D998384C}" type="pres">
      <dgm:prSet presAssocID="{E1906EF2-8B19-45FE-9A74-069ABBF9A392}" presName="hierChild1" presStyleCnt="0">
        <dgm:presLayoutVars>
          <dgm:orgChart val="1"/>
          <dgm:chPref val="1"/>
          <dgm:dir/>
          <dgm:animOne val="branch"/>
          <dgm:animLvl val="lvl"/>
          <dgm:resizeHandles/>
        </dgm:presLayoutVars>
      </dgm:prSet>
      <dgm:spPr/>
      <dgm:t>
        <a:bodyPr/>
        <a:p>
          <a:endParaRPr lang="zh-CN" altLang="en-US"/>
        </a:p>
      </dgm:t>
    </dgm:pt>
    <dgm:pt modelId="{11AF4E31-1715-440F-99AB-ECE34361B0C6}" type="pres">
      <dgm:prSet presAssocID="{908DBB4E-8224-4F5E-B7AD-E60839A3D094}" presName="hierRoot1" presStyleCnt="0">
        <dgm:presLayoutVars>
          <dgm:hierBranch val="init"/>
        </dgm:presLayoutVars>
      </dgm:prSet>
      <dgm:spPr/>
    </dgm:pt>
    <dgm:pt modelId="{8E3BA50B-5968-41F2-8631-B94EB365334E}" type="pres">
      <dgm:prSet presAssocID="{908DBB4E-8224-4F5E-B7AD-E60839A3D094}" presName="rootComposite1" presStyleCnt="0"/>
      <dgm:spPr/>
      <dgm:t>
        <a:bodyPr/>
        <a:p>
          <a:endParaRPr lang="zh-CN" altLang="en-US"/>
        </a:p>
      </dgm:t>
    </dgm:pt>
    <dgm:pt modelId="{29B1B02F-F3FA-4CFB-95E4-C07A58F22263}" type="pres">
      <dgm:prSet presAssocID="{908DBB4E-8224-4F5E-B7AD-E60839A3D094}" presName="rootText1" presStyleLbl="node0" presStyleIdx="0" presStyleCnt="1">
        <dgm:presLayoutVars>
          <dgm:chPref val="3"/>
        </dgm:presLayoutVars>
      </dgm:prSet>
      <dgm:spPr/>
      <dgm:t>
        <a:bodyPr/>
        <a:p>
          <a:endParaRPr lang="zh-CN" altLang="en-US"/>
        </a:p>
      </dgm:t>
    </dgm:pt>
    <dgm:pt modelId="{7DD84276-E8D0-44F6-AB78-BD48B00743A9}" type="pres">
      <dgm:prSet presAssocID="{908DBB4E-8224-4F5E-B7AD-E60839A3D094}" presName="rootConnector1" presStyleLbl="node1" presStyleIdx="0" presStyleCnt="0"/>
      <dgm:spPr/>
      <dgm:t>
        <a:bodyPr/>
        <a:p>
          <a:endParaRPr lang="zh-CN" altLang="en-US"/>
        </a:p>
      </dgm:t>
    </dgm:pt>
    <dgm:pt modelId="{5391E17D-B326-4B8A-8252-6777D11E5BA2}" type="pres">
      <dgm:prSet presAssocID="{908DBB4E-8224-4F5E-B7AD-E60839A3D094}" presName="hierChild2" presStyleCnt="0"/>
      <dgm:spPr/>
    </dgm:pt>
    <dgm:pt modelId="{9809791D-3F55-4780-9EE4-C79AF7B05E8F}" type="pres">
      <dgm:prSet presAssocID="{F42427B9-4D8A-46E6-BCFB-FEF8134916D6}" presName="Name37" presStyleLbl="parChTrans1D2" presStyleIdx="0" presStyleCnt="7"/>
      <dgm:spPr/>
      <dgm:t>
        <a:bodyPr/>
        <a:p>
          <a:endParaRPr lang="zh-CN" altLang="en-US"/>
        </a:p>
      </dgm:t>
    </dgm:pt>
    <dgm:pt modelId="{2B0FC8B0-0462-40FF-89EC-D172894E1CE1}" type="pres">
      <dgm:prSet presAssocID="{BCE010E8-8E7C-4E63-8370-8773FFCE76A6}" presName="hierRoot2" presStyleCnt="0">
        <dgm:presLayoutVars>
          <dgm:hierBranch val="init"/>
        </dgm:presLayoutVars>
      </dgm:prSet>
      <dgm:spPr/>
    </dgm:pt>
    <dgm:pt modelId="{BE62D320-5E76-417E-9441-E8259E4E0B74}" type="pres">
      <dgm:prSet presAssocID="{BCE010E8-8E7C-4E63-8370-8773FFCE76A6}" presName="rootComposite" presStyleCnt="0"/>
      <dgm:spPr/>
      <dgm:t>
        <a:bodyPr/>
        <a:p>
          <a:endParaRPr lang="zh-CN" altLang="en-US"/>
        </a:p>
      </dgm:t>
    </dgm:pt>
    <dgm:pt modelId="{15124C24-53EB-4B15-A0B3-3E49495167BD}" type="pres">
      <dgm:prSet presAssocID="{BCE010E8-8E7C-4E63-8370-8773FFCE76A6}" presName="rootText" presStyleLbl="node2" presStyleIdx="0" presStyleCnt="6">
        <dgm:presLayoutVars>
          <dgm:chPref val="3"/>
        </dgm:presLayoutVars>
      </dgm:prSet>
      <dgm:spPr/>
      <dgm:t>
        <a:bodyPr/>
        <a:p>
          <a:endParaRPr lang="zh-CN" altLang="en-US"/>
        </a:p>
      </dgm:t>
    </dgm:pt>
    <dgm:pt modelId="{76BDDAD4-8162-4373-ABF3-7005101F7748}" type="pres">
      <dgm:prSet presAssocID="{BCE010E8-8E7C-4E63-8370-8773FFCE76A6}" presName="rootConnector" presStyleLbl="node2" presStyleIdx="0" presStyleCnt="6"/>
      <dgm:spPr/>
      <dgm:t>
        <a:bodyPr/>
        <a:p>
          <a:endParaRPr lang="zh-CN" altLang="en-US"/>
        </a:p>
      </dgm:t>
    </dgm:pt>
    <dgm:pt modelId="{8E685B29-821B-4F2D-9EC0-7502252AF5DB}" type="pres">
      <dgm:prSet presAssocID="{BCE010E8-8E7C-4E63-8370-8773FFCE76A6}" presName="hierChild4" presStyleCnt="0"/>
      <dgm:spPr/>
    </dgm:pt>
    <dgm:pt modelId="{83C417BA-05D9-48CE-B566-C1ED152F1B3F}" type="pres">
      <dgm:prSet presAssocID="{BCE010E8-8E7C-4E63-8370-8773FFCE76A6}" presName="hierChild5" presStyleCnt="0"/>
      <dgm:spPr/>
    </dgm:pt>
    <dgm:pt modelId="{FEA55022-F95E-4672-8F9E-8B3DA4FE6E9A}" type="pres">
      <dgm:prSet presAssocID="{A22D80F7-2CF1-45D4-88AA-3B58C07399B0}" presName="Name37" presStyleLbl="parChTrans1D2" presStyleIdx="1" presStyleCnt="7"/>
      <dgm:spPr/>
      <dgm:t>
        <a:bodyPr/>
        <a:p>
          <a:endParaRPr lang="zh-CN" altLang="en-US"/>
        </a:p>
      </dgm:t>
    </dgm:pt>
    <dgm:pt modelId="{DAAF60B6-043A-439A-8F06-A543E126718D}" type="pres">
      <dgm:prSet presAssocID="{853A4688-B49E-471B-B2A9-7BE17431C769}" presName="hierRoot2" presStyleCnt="0">
        <dgm:presLayoutVars>
          <dgm:hierBranch val="init"/>
        </dgm:presLayoutVars>
      </dgm:prSet>
      <dgm:spPr/>
    </dgm:pt>
    <dgm:pt modelId="{F286F022-1D1E-4268-AF40-10AEA999405A}" type="pres">
      <dgm:prSet presAssocID="{853A4688-B49E-471B-B2A9-7BE17431C769}" presName="rootComposite" presStyleCnt="0"/>
      <dgm:spPr/>
      <dgm:t>
        <a:bodyPr/>
        <a:p>
          <a:endParaRPr lang="zh-CN" altLang="en-US"/>
        </a:p>
      </dgm:t>
    </dgm:pt>
    <dgm:pt modelId="{D6AC53F8-007A-4673-B734-06388EE60DA1}" type="pres">
      <dgm:prSet presAssocID="{853A4688-B49E-471B-B2A9-7BE17431C769}" presName="rootText" presStyleLbl="node2" presStyleIdx="1" presStyleCnt="6">
        <dgm:presLayoutVars>
          <dgm:chPref val="3"/>
        </dgm:presLayoutVars>
      </dgm:prSet>
      <dgm:spPr/>
      <dgm:t>
        <a:bodyPr/>
        <a:p>
          <a:endParaRPr lang="zh-CN" altLang="en-US"/>
        </a:p>
      </dgm:t>
    </dgm:pt>
    <dgm:pt modelId="{CC9773F5-1FE8-41FD-AC54-34C3F125E452}" type="pres">
      <dgm:prSet presAssocID="{853A4688-B49E-471B-B2A9-7BE17431C769}" presName="rootConnector" presStyleLbl="node2" presStyleIdx="1" presStyleCnt="6"/>
      <dgm:spPr/>
      <dgm:t>
        <a:bodyPr/>
        <a:p>
          <a:endParaRPr lang="zh-CN" altLang="en-US"/>
        </a:p>
      </dgm:t>
    </dgm:pt>
    <dgm:pt modelId="{D450CBCF-C26B-4FE4-B44E-19238CBC7279}" type="pres">
      <dgm:prSet presAssocID="{853A4688-B49E-471B-B2A9-7BE17431C769}" presName="hierChild4" presStyleCnt="0"/>
      <dgm:spPr/>
    </dgm:pt>
    <dgm:pt modelId="{1A73EE41-19F8-47F5-AF93-2202E2C4B2A0}" type="pres">
      <dgm:prSet presAssocID="{853A4688-B49E-471B-B2A9-7BE17431C769}" presName="hierChild5" presStyleCnt="0"/>
      <dgm:spPr/>
    </dgm:pt>
    <dgm:pt modelId="{AD7D7DEC-6F5F-4CF3-B886-B4BF2A9CD9D7}" type="pres">
      <dgm:prSet presAssocID="{294773D0-E686-4D71-83A8-2E345EF8E492}" presName="Name37" presStyleLbl="parChTrans1D2" presStyleIdx="2" presStyleCnt="7"/>
      <dgm:spPr/>
      <dgm:t>
        <a:bodyPr/>
        <a:p>
          <a:endParaRPr lang="zh-CN" altLang="en-US"/>
        </a:p>
      </dgm:t>
    </dgm:pt>
    <dgm:pt modelId="{6223A595-8483-48B2-9DEB-355647C3B159}" type="pres">
      <dgm:prSet presAssocID="{B746464A-8B1A-4189-B6CB-FC71EA010BFC}" presName="hierRoot2" presStyleCnt="0">
        <dgm:presLayoutVars>
          <dgm:hierBranch val="init"/>
        </dgm:presLayoutVars>
      </dgm:prSet>
      <dgm:spPr/>
    </dgm:pt>
    <dgm:pt modelId="{0FFAA956-0292-4586-85BF-3ADC4EF7F530}" type="pres">
      <dgm:prSet presAssocID="{B746464A-8B1A-4189-B6CB-FC71EA010BFC}" presName="rootComposite" presStyleCnt="0"/>
      <dgm:spPr/>
      <dgm:t>
        <a:bodyPr/>
        <a:p>
          <a:endParaRPr lang="zh-CN" altLang="en-US"/>
        </a:p>
      </dgm:t>
    </dgm:pt>
    <dgm:pt modelId="{B60E0CB2-253E-4E5B-A070-9F0E82FB0552}" type="pres">
      <dgm:prSet presAssocID="{B746464A-8B1A-4189-B6CB-FC71EA010BFC}" presName="rootText" presStyleLbl="node2" presStyleIdx="2" presStyleCnt="6">
        <dgm:presLayoutVars>
          <dgm:chPref val="3"/>
        </dgm:presLayoutVars>
      </dgm:prSet>
      <dgm:spPr/>
      <dgm:t>
        <a:bodyPr/>
        <a:p>
          <a:endParaRPr lang="zh-CN" altLang="en-US"/>
        </a:p>
      </dgm:t>
    </dgm:pt>
    <dgm:pt modelId="{4DA777FB-3A44-4F5A-ACC2-69897F24D186}" type="pres">
      <dgm:prSet presAssocID="{B746464A-8B1A-4189-B6CB-FC71EA010BFC}" presName="rootConnector" presStyleLbl="node2" presStyleIdx="2" presStyleCnt="6"/>
      <dgm:spPr/>
      <dgm:t>
        <a:bodyPr/>
        <a:p>
          <a:endParaRPr lang="zh-CN" altLang="en-US"/>
        </a:p>
      </dgm:t>
    </dgm:pt>
    <dgm:pt modelId="{848C9317-1E36-480A-A5F0-227137E19052}" type="pres">
      <dgm:prSet presAssocID="{B746464A-8B1A-4189-B6CB-FC71EA010BFC}" presName="hierChild4" presStyleCnt="0"/>
      <dgm:spPr/>
    </dgm:pt>
    <dgm:pt modelId="{4A55513A-6A10-4072-A212-73308AF8D3B9}" type="pres">
      <dgm:prSet presAssocID="{B746464A-8B1A-4189-B6CB-FC71EA010BFC}" presName="hierChild5" presStyleCnt="0"/>
      <dgm:spPr/>
    </dgm:pt>
    <dgm:pt modelId="{3F22CE90-25C8-4F72-B6AC-B645FF1378DF}" type="pres">
      <dgm:prSet presAssocID="{4734D4BA-0E52-472E-9486-5352446C0770}" presName="Name37" presStyleLbl="parChTrans1D2" presStyleIdx="3" presStyleCnt="7"/>
      <dgm:spPr/>
      <dgm:t>
        <a:bodyPr/>
        <a:p>
          <a:endParaRPr lang="zh-CN" altLang="en-US"/>
        </a:p>
      </dgm:t>
    </dgm:pt>
    <dgm:pt modelId="{A7188563-0B37-494B-9DC4-E6ABB51C0A21}" type="pres">
      <dgm:prSet presAssocID="{ABA51730-EBEA-4DB9-888D-09E7F5C74EEB}" presName="hierRoot2" presStyleCnt="0">
        <dgm:presLayoutVars>
          <dgm:hierBranch val="init"/>
        </dgm:presLayoutVars>
      </dgm:prSet>
      <dgm:spPr/>
    </dgm:pt>
    <dgm:pt modelId="{B2E5648A-944E-415F-B7D3-300879CC13A6}" type="pres">
      <dgm:prSet presAssocID="{ABA51730-EBEA-4DB9-888D-09E7F5C74EEB}" presName="rootComposite" presStyleCnt="0"/>
      <dgm:spPr/>
      <dgm:t>
        <a:bodyPr/>
        <a:p>
          <a:endParaRPr lang="zh-CN" altLang="en-US"/>
        </a:p>
      </dgm:t>
    </dgm:pt>
    <dgm:pt modelId="{F6F0F6FC-EFC0-4B49-9804-183A7A2B687D}" type="pres">
      <dgm:prSet presAssocID="{ABA51730-EBEA-4DB9-888D-09E7F5C74EEB}" presName="rootText" presStyleLbl="node2" presStyleIdx="3" presStyleCnt="6">
        <dgm:presLayoutVars>
          <dgm:chPref val="3"/>
        </dgm:presLayoutVars>
      </dgm:prSet>
      <dgm:spPr/>
      <dgm:t>
        <a:bodyPr/>
        <a:p>
          <a:endParaRPr lang="zh-CN" altLang="en-US"/>
        </a:p>
      </dgm:t>
    </dgm:pt>
    <dgm:pt modelId="{EF418B4B-F731-480B-8501-9A78B28C04C3}" type="pres">
      <dgm:prSet presAssocID="{ABA51730-EBEA-4DB9-888D-09E7F5C74EEB}" presName="rootConnector" presStyleLbl="node2" presStyleIdx="3" presStyleCnt="6"/>
      <dgm:spPr/>
      <dgm:t>
        <a:bodyPr/>
        <a:p>
          <a:endParaRPr lang="zh-CN" altLang="en-US"/>
        </a:p>
      </dgm:t>
    </dgm:pt>
    <dgm:pt modelId="{695692BB-C4FF-42B1-A87C-B8B844B5BA51}" type="pres">
      <dgm:prSet presAssocID="{ABA51730-EBEA-4DB9-888D-09E7F5C74EEB}" presName="hierChild4" presStyleCnt="0"/>
      <dgm:spPr/>
    </dgm:pt>
    <dgm:pt modelId="{8AADE29E-6094-4D87-9387-A776EA8D6DAF}" type="pres">
      <dgm:prSet presAssocID="{ABA51730-EBEA-4DB9-888D-09E7F5C74EEB}" presName="hierChild5" presStyleCnt="0"/>
      <dgm:spPr/>
    </dgm:pt>
    <dgm:pt modelId="{93B8CD70-6011-4EBD-BBD7-36BF900982BB}" type="pres">
      <dgm:prSet presAssocID="{11324C43-3C3B-47D1-A87C-5CC0CEA50C9F}" presName="Name37" presStyleLbl="parChTrans1D2" presStyleIdx="4" presStyleCnt="7"/>
      <dgm:spPr/>
      <dgm:t>
        <a:bodyPr/>
        <a:p>
          <a:endParaRPr lang="zh-CN" altLang="en-US"/>
        </a:p>
      </dgm:t>
    </dgm:pt>
    <dgm:pt modelId="{3C94082C-DC58-42FA-A846-632D3330CBCE}" type="pres">
      <dgm:prSet presAssocID="{6B2E9C28-67A5-4B58-B2BB-54C0D84EA003}" presName="hierRoot2" presStyleCnt="0">
        <dgm:presLayoutVars>
          <dgm:hierBranch val="init"/>
        </dgm:presLayoutVars>
      </dgm:prSet>
      <dgm:spPr/>
    </dgm:pt>
    <dgm:pt modelId="{6A990B2D-8F9A-406E-8024-FD2A2184531C}" type="pres">
      <dgm:prSet presAssocID="{6B2E9C28-67A5-4B58-B2BB-54C0D84EA003}" presName="rootComposite" presStyleCnt="0"/>
      <dgm:spPr/>
      <dgm:t>
        <a:bodyPr/>
        <a:p>
          <a:endParaRPr lang="zh-CN" altLang="en-US"/>
        </a:p>
      </dgm:t>
    </dgm:pt>
    <dgm:pt modelId="{B47A79A2-BE40-468D-A2CA-CCCF14F23659}" type="pres">
      <dgm:prSet presAssocID="{6B2E9C28-67A5-4B58-B2BB-54C0D84EA003}" presName="rootText" presStyleLbl="node2" presStyleIdx="4" presStyleCnt="6">
        <dgm:presLayoutVars>
          <dgm:chPref val="3"/>
        </dgm:presLayoutVars>
      </dgm:prSet>
      <dgm:spPr/>
      <dgm:t>
        <a:bodyPr/>
        <a:p>
          <a:endParaRPr lang="zh-CN" altLang="en-US"/>
        </a:p>
      </dgm:t>
    </dgm:pt>
    <dgm:pt modelId="{2F16F5AD-1BE6-4DD4-9B48-951CC0A77E01}" type="pres">
      <dgm:prSet presAssocID="{6B2E9C28-67A5-4B58-B2BB-54C0D84EA003}" presName="rootConnector" presStyleLbl="node2" presStyleIdx="4" presStyleCnt="6"/>
      <dgm:spPr/>
      <dgm:t>
        <a:bodyPr/>
        <a:p>
          <a:endParaRPr lang="zh-CN" altLang="en-US"/>
        </a:p>
      </dgm:t>
    </dgm:pt>
    <dgm:pt modelId="{3E06EC10-3827-4371-8DE0-D65BF0EF32AA}" type="pres">
      <dgm:prSet presAssocID="{6B2E9C28-67A5-4B58-B2BB-54C0D84EA003}" presName="hierChild4" presStyleCnt="0"/>
      <dgm:spPr/>
    </dgm:pt>
    <dgm:pt modelId="{FB337954-1EB2-4999-A0D9-264B42351603}" type="pres">
      <dgm:prSet presAssocID="{198D1B20-11FB-4F8C-874F-0D842AFF4B0B}" presName="Name37" presStyleLbl="parChTrans1D3" presStyleIdx="0" presStyleCnt="2"/>
      <dgm:spPr/>
      <dgm:t>
        <a:bodyPr/>
        <a:p>
          <a:endParaRPr lang="zh-CN" altLang="en-US"/>
        </a:p>
      </dgm:t>
    </dgm:pt>
    <dgm:pt modelId="{46EFAB4F-1C9C-40EC-AF8B-4A5E296C9BB6}" type="pres">
      <dgm:prSet presAssocID="{4272CC6D-C9D1-4FD5-9ACA-7427A55AE096}" presName="hierRoot2" presStyleCnt="0">
        <dgm:presLayoutVars>
          <dgm:hierBranch val="init"/>
        </dgm:presLayoutVars>
      </dgm:prSet>
      <dgm:spPr/>
    </dgm:pt>
    <dgm:pt modelId="{556AFCA1-4FD2-4485-A609-44D3A7211403}" type="pres">
      <dgm:prSet presAssocID="{4272CC6D-C9D1-4FD5-9ACA-7427A55AE096}" presName="rootComposite" presStyleCnt="0"/>
      <dgm:spPr/>
      <dgm:t>
        <a:bodyPr/>
        <a:p>
          <a:endParaRPr lang="zh-CN" altLang="en-US"/>
        </a:p>
      </dgm:t>
    </dgm:pt>
    <dgm:pt modelId="{8FCA0067-9DBF-4114-8727-B1A30211A40A}" type="pres">
      <dgm:prSet presAssocID="{4272CC6D-C9D1-4FD5-9ACA-7427A55AE096}" presName="rootText" presStyleLbl="node3" presStyleIdx="0" presStyleCnt="2">
        <dgm:presLayoutVars>
          <dgm:chPref val="3"/>
        </dgm:presLayoutVars>
      </dgm:prSet>
      <dgm:spPr/>
      <dgm:t>
        <a:bodyPr/>
        <a:p>
          <a:endParaRPr lang="zh-CN" altLang="en-US"/>
        </a:p>
      </dgm:t>
    </dgm:pt>
    <dgm:pt modelId="{F349CAF2-5665-4894-9B41-B306618D3729}" type="pres">
      <dgm:prSet presAssocID="{4272CC6D-C9D1-4FD5-9ACA-7427A55AE096}" presName="rootConnector" presStyleLbl="node3" presStyleIdx="0" presStyleCnt="2"/>
      <dgm:spPr/>
      <dgm:t>
        <a:bodyPr/>
        <a:p>
          <a:endParaRPr lang="zh-CN" altLang="en-US"/>
        </a:p>
      </dgm:t>
    </dgm:pt>
    <dgm:pt modelId="{BEEE6816-81D2-4356-AED0-8F0B33D3AA64}" type="pres">
      <dgm:prSet presAssocID="{4272CC6D-C9D1-4FD5-9ACA-7427A55AE096}" presName="hierChild4" presStyleCnt="0"/>
      <dgm:spPr/>
    </dgm:pt>
    <dgm:pt modelId="{1C1D5DE8-1FC7-42C1-893A-A9091229BC86}" type="pres">
      <dgm:prSet presAssocID="{4272CC6D-C9D1-4FD5-9ACA-7427A55AE096}" presName="hierChild5" presStyleCnt="0"/>
      <dgm:spPr/>
    </dgm:pt>
    <dgm:pt modelId="{4365B1F9-81CF-4F16-BF26-557F7B61A58C}" type="pres">
      <dgm:prSet presAssocID="{8A821CC4-998F-47A3-AC9C-A57707F1F320}" presName="Name37" presStyleLbl="parChTrans1D3" presStyleIdx="1" presStyleCnt="2"/>
      <dgm:spPr/>
      <dgm:t>
        <a:bodyPr/>
        <a:p>
          <a:endParaRPr lang="zh-CN" altLang="en-US"/>
        </a:p>
      </dgm:t>
    </dgm:pt>
    <dgm:pt modelId="{F2544D8D-B0B5-4424-908D-D8050E152AD1}" type="pres">
      <dgm:prSet presAssocID="{2F9CFC00-3CA0-4518-B42C-73AD190652ED}" presName="hierRoot2" presStyleCnt="0">
        <dgm:presLayoutVars>
          <dgm:hierBranch val="init"/>
        </dgm:presLayoutVars>
      </dgm:prSet>
      <dgm:spPr/>
    </dgm:pt>
    <dgm:pt modelId="{F6C25899-41FD-4385-90FF-A66DAA88D13A}" type="pres">
      <dgm:prSet presAssocID="{2F9CFC00-3CA0-4518-B42C-73AD190652ED}" presName="rootComposite" presStyleCnt="0"/>
      <dgm:spPr/>
      <dgm:t>
        <a:bodyPr/>
        <a:p>
          <a:endParaRPr lang="zh-CN" altLang="en-US"/>
        </a:p>
      </dgm:t>
    </dgm:pt>
    <dgm:pt modelId="{4C19508D-96DA-4229-8FCE-373BD8A36F8E}" type="pres">
      <dgm:prSet presAssocID="{2F9CFC00-3CA0-4518-B42C-73AD190652ED}" presName="rootText" presStyleLbl="node3" presStyleIdx="1" presStyleCnt="2">
        <dgm:presLayoutVars>
          <dgm:chPref val="3"/>
        </dgm:presLayoutVars>
      </dgm:prSet>
      <dgm:spPr/>
      <dgm:t>
        <a:bodyPr/>
        <a:p>
          <a:endParaRPr lang="zh-CN" altLang="en-US"/>
        </a:p>
      </dgm:t>
    </dgm:pt>
    <dgm:pt modelId="{5D7D68DC-BEE0-4E9D-B72A-925F7F56DB27}" type="pres">
      <dgm:prSet presAssocID="{2F9CFC00-3CA0-4518-B42C-73AD190652ED}" presName="rootConnector" presStyleLbl="node3" presStyleIdx="1" presStyleCnt="2"/>
      <dgm:spPr/>
      <dgm:t>
        <a:bodyPr/>
        <a:p>
          <a:endParaRPr lang="zh-CN" altLang="en-US"/>
        </a:p>
      </dgm:t>
    </dgm:pt>
    <dgm:pt modelId="{3295AD7F-03F5-4635-9870-9EACE597FDD4}" type="pres">
      <dgm:prSet presAssocID="{2F9CFC00-3CA0-4518-B42C-73AD190652ED}" presName="hierChild4" presStyleCnt="0"/>
      <dgm:spPr/>
    </dgm:pt>
    <dgm:pt modelId="{21207334-7F37-48DC-8C7B-835956B90973}" type="pres">
      <dgm:prSet presAssocID="{2F9CFC00-3CA0-4518-B42C-73AD190652ED}" presName="hierChild5" presStyleCnt="0"/>
      <dgm:spPr/>
    </dgm:pt>
    <dgm:pt modelId="{EBDAB269-CE49-40E2-BE0A-6CE106B5CC7F}" type="pres">
      <dgm:prSet presAssocID="{6B2E9C28-67A5-4B58-B2BB-54C0D84EA003}" presName="hierChild5" presStyleCnt="0"/>
      <dgm:spPr/>
    </dgm:pt>
    <dgm:pt modelId="{C1BF9873-7A73-401E-891C-003E79A1C45F}" type="pres">
      <dgm:prSet presAssocID="{4B6024E3-3702-4B13-BF46-8E8F8DF1532B}" presName="Name37" presStyleLbl="parChTrans1D2" presStyleIdx="5" presStyleCnt="7"/>
      <dgm:spPr/>
      <dgm:t>
        <a:bodyPr/>
        <a:p>
          <a:endParaRPr lang="zh-CN" altLang="en-US"/>
        </a:p>
      </dgm:t>
    </dgm:pt>
    <dgm:pt modelId="{114297CE-8A80-4B45-8477-717377CCCB74}" type="pres">
      <dgm:prSet presAssocID="{86F42B52-5BEE-4236-9C18-C7527E42B229}" presName="hierRoot2" presStyleCnt="0">
        <dgm:presLayoutVars>
          <dgm:hierBranch val="init"/>
        </dgm:presLayoutVars>
      </dgm:prSet>
      <dgm:spPr/>
    </dgm:pt>
    <dgm:pt modelId="{7E08E61E-95E7-405D-967B-C712F6C9A0F9}" type="pres">
      <dgm:prSet presAssocID="{86F42B52-5BEE-4236-9C18-C7527E42B229}" presName="rootComposite" presStyleCnt="0"/>
      <dgm:spPr/>
      <dgm:t>
        <a:bodyPr/>
        <a:p>
          <a:endParaRPr lang="zh-CN" altLang="en-US"/>
        </a:p>
      </dgm:t>
    </dgm:pt>
    <dgm:pt modelId="{44775E2D-A971-4334-A7AA-972D3BF9DCD3}" type="pres">
      <dgm:prSet presAssocID="{86F42B52-5BEE-4236-9C18-C7527E42B229}" presName="rootText" presStyleLbl="node2" presStyleIdx="5" presStyleCnt="6">
        <dgm:presLayoutVars>
          <dgm:chPref val="3"/>
        </dgm:presLayoutVars>
      </dgm:prSet>
      <dgm:spPr/>
      <dgm:t>
        <a:bodyPr/>
        <a:p>
          <a:endParaRPr lang="zh-CN" altLang="en-US"/>
        </a:p>
      </dgm:t>
    </dgm:pt>
    <dgm:pt modelId="{780BD287-9BA8-4A92-BDA3-E1AD87AD98F0}" type="pres">
      <dgm:prSet presAssocID="{86F42B52-5BEE-4236-9C18-C7527E42B229}" presName="rootConnector" presStyleLbl="node2" presStyleIdx="5" presStyleCnt="6"/>
      <dgm:spPr/>
      <dgm:t>
        <a:bodyPr/>
        <a:p>
          <a:endParaRPr lang="zh-CN" altLang="en-US"/>
        </a:p>
      </dgm:t>
    </dgm:pt>
    <dgm:pt modelId="{1847D064-3EBD-4FDC-BADA-1606470C1D9B}" type="pres">
      <dgm:prSet presAssocID="{86F42B52-5BEE-4236-9C18-C7527E42B229}" presName="hierChild4" presStyleCnt="0"/>
      <dgm:spPr/>
    </dgm:pt>
    <dgm:pt modelId="{DC1776CA-DE95-45F3-94DF-7AA4C58436DE}" type="pres">
      <dgm:prSet presAssocID="{86F42B52-5BEE-4236-9C18-C7527E42B229}" presName="hierChild5" presStyleCnt="0"/>
      <dgm:spPr/>
    </dgm:pt>
    <dgm:pt modelId="{631A71A7-8822-4E18-8A25-1628ED78D39A}" type="pres">
      <dgm:prSet presAssocID="{908DBB4E-8224-4F5E-B7AD-E60839A3D094}" presName="hierChild3" presStyleCnt="0"/>
      <dgm:spPr/>
    </dgm:pt>
    <dgm:pt modelId="{E4EEF2D3-CB58-4E65-B98F-79F8166BEA73}" type="pres">
      <dgm:prSet presAssocID="{71D3B13F-28A0-48BE-87A2-3FACB7E16C1C}" presName="Name111" presStyleLbl="parChTrans1D2" presStyleIdx="6" presStyleCnt="7"/>
      <dgm:spPr/>
      <dgm:t>
        <a:bodyPr/>
        <a:p>
          <a:endParaRPr lang="zh-CN" altLang="en-US"/>
        </a:p>
      </dgm:t>
    </dgm:pt>
    <dgm:pt modelId="{28F1F07C-79E9-4603-BA67-61D6CB8A276F}" type="pres">
      <dgm:prSet presAssocID="{6C48E407-3326-4F09-83BA-38E29D016726}" presName="hierRoot3" presStyleCnt="0">
        <dgm:presLayoutVars>
          <dgm:hierBranch val="init"/>
        </dgm:presLayoutVars>
      </dgm:prSet>
      <dgm:spPr/>
    </dgm:pt>
    <dgm:pt modelId="{7C0B93F1-8EFF-4B69-9921-D744344F1D80}" type="pres">
      <dgm:prSet presAssocID="{6C48E407-3326-4F09-83BA-38E29D016726}" presName="rootComposite3" presStyleCnt="0"/>
      <dgm:spPr/>
      <dgm:t>
        <a:bodyPr/>
        <a:p>
          <a:endParaRPr lang="zh-CN" altLang="en-US"/>
        </a:p>
      </dgm:t>
    </dgm:pt>
    <dgm:pt modelId="{163B53BB-F855-4AB2-A153-FA9C48FD5099}" type="pres">
      <dgm:prSet presAssocID="{6C48E407-3326-4F09-83BA-38E29D016726}" presName="rootText3" presStyleLbl="asst1" presStyleIdx="0" presStyleCnt="1">
        <dgm:presLayoutVars>
          <dgm:chPref val="3"/>
        </dgm:presLayoutVars>
      </dgm:prSet>
      <dgm:spPr/>
      <dgm:t>
        <a:bodyPr/>
        <a:p>
          <a:endParaRPr lang="zh-CN" altLang="en-US"/>
        </a:p>
      </dgm:t>
    </dgm:pt>
    <dgm:pt modelId="{63E85DDB-6D18-41FF-B58C-B4D3E5601E79}" type="pres">
      <dgm:prSet presAssocID="{6C48E407-3326-4F09-83BA-38E29D016726}" presName="rootConnector3" presStyleLbl="asst1" presStyleIdx="0" presStyleCnt="1"/>
      <dgm:spPr/>
      <dgm:t>
        <a:bodyPr/>
        <a:p>
          <a:endParaRPr lang="zh-CN" altLang="en-US"/>
        </a:p>
      </dgm:t>
    </dgm:pt>
    <dgm:pt modelId="{75AB0F92-5578-420C-8898-B3A66A09EA59}" type="pres">
      <dgm:prSet presAssocID="{6C48E407-3326-4F09-83BA-38E29D016726}" presName="hierChild6" presStyleCnt="0"/>
      <dgm:spPr/>
    </dgm:pt>
    <dgm:pt modelId="{17720F72-3C86-45C3-A2A2-DE9EA6443DBD}" type="pres">
      <dgm:prSet presAssocID="{6C48E407-3326-4F09-83BA-38E29D016726}" presName="hierChild7" presStyleCnt="0"/>
      <dgm:spPr/>
    </dgm:pt>
  </dgm:ptLst>
  <dgm:cxnLst>
    <dgm:cxn modelId="{406FE7E9-571E-4EE8-A270-04A1E8879A3E}" type="presOf" srcId="{4B6024E3-3702-4B13-BF46-8E8F8DF1532B}" destId="{C1BF9873-7A73-401E-891C-003E79A1C45F}" srcOrd="0" destOrd="0" presId="urn:microsoft.com/office/officeart/2005/8/layout/orgChart1#1"/>
    <dgm:cxn modelId="{4213AA51-7978-4B7D-976F-1119615B7BD2}" type="presOf" srcId="{11324C43-3C3B-47D1-A87C-5CC0CEA50C9F}" destId="{93B8CD70-6011-4EBD-BBD7-36BF900982BB}" srcOrd="0" destOrd="0" presId="urn:microsoft.com/office/officeart/2005/8/layout/orgChart1#1"/>
    <dgm:cxn modelId="{D9C0ED51-90A6-4E65-ACA8-1C9F42429890}" type="presOf" srcId="{4272CC6D-C9D1-4FD5-9ACA-7427A55AE096}" destId="{F349CAF2-5665-4894-9B41-B306618D3729}" srcOrd="1" destOrd="0" presId="urn:microsoft.com/office/officeart/2005/8/layout/orgChart1#1"/>
    <dgm:cxn modelId="{E63CAF7A-5FE0-42FB-B8E5-95C21B48EDC5}" srcId="{908DBB4E-8224-4F5E-B7AD-E60839A3D094}" destId="{853A4688-B49E-471B-B2A9-7BE17431C769}" srcOrd="2" destOrd="0" parTransId="{A22D80F7-2CF1-45D4-88AA-3B58C07399B0}" sibTransId="{8F67FFA2-EA23-40F5-918E-D6416931D7E7}"/>
    <dgm:cxn modelId="{27FD3274-9888-4732-AB62-9EF57F708772}" type="presOf" srcId="{4734D4BA-0E52-472E-9486-5352446C0770}" destId="{3F22CE90-25C8-4F72-B6AC-B645FF1378DF}" srcOrd="0" destOrd="0" presId="urn:microsoft.com/office/officeart/2005/8/layout/orgChart1#1"/>
    <dgm:cxn modelId="{F0F0D886-E0B4-4DE8-A485-BBF5BA55E587}" type="presOf" srcId="{ABA51730-EBEA-4DB9-888D-09E7F5C74EEB}" destId="{EF418B4B-F731-480B-8501-9A78B28C04C3}" srcOrd="1" destOrd="0" presId="urn:microsoft.com/office/officeart/2005/8/layout/orgChart1#1"/>
    <dgm:cxn modelId="{326DFBCC-88CE-46C1-8DCE-B3B401863149}" type="presOf" srcId="{908DBB4E-8224-4F5E-B7AD-E60839A3D094}" destId="{7DD84276-E8D0-44F6-AB78-BD48B00743A9}" srcOrd="1" destOrd="0" presId="urn:microsoft.com/office/officeart/2005/8/layout/orgChart1#1"/>
    <dgm:cxn modelId="{684DDB5E-6F02-4538-9052-401F198D564A}" srcId="{908DBB4E-8224-4F5E-B7AD-E60839A3D094}" destId="{6C48E407-3326-4F09-83BA-38E29D016726}" srcOrd="0" destOrd="0" parTransId="{71D3B13F-28A0-48BE-87A2-3FACB7E16C1C}" sibTransId="{AC3580C1-5B63-4509-8F6E-F4482940B750}"/>
    <dgm:cxn modelId="{6F79D7FD-7EE6-4F99-80DB-AF619E1B647D}" srcId="{6B2E9C28-67A5-4B58-B2BB-54C0D84EA003}" destId="{2F9CFC00-3CA0-4518-B42C-73AD190652ED}" srcOrd="1" destOrd="0" parTransId="{8A821CC4-998F-47A3-AC9C-A57707F1F320}" sibTransId="{20831AA6-B0BB-48A6-BABF-DF167095C266}"/>
    <dgm:cxn modelId="{0B45DFE5-6A5C-4B66-B958-841FF9989BA6}" srcId="{908DBB4E-8224-4F5E-B7AD-E60839A3D094}" destId="{86F42B52-5BEE-4236-9C18-C7527E42B229}" srcOrd="6" destOrd="0" parTransId="{4B6024E3-3702-4B13-BF46-8E8F8DF1532B}" sibTransId="{7428BC5D-88A9-417F-A9C4-73A0830063F9}"/>
    <dgm:cxn modelId="{764372EE-8371-470F-8EC0-94FED506882C}" type="presOf" srcId="{2F9CFC00-3CA0-4518-B42C-73AD190652ED}" destId="{5D7D68DC-BEE0-4E9D-B72A-925F7F56DB27}" srcOrd="1" destOrd="0" presId="urn:microsoft.com/office/officeart/2005/8/layout/orgChart1#1"/>
    <dgm:cxn modelId="{9CDF85AB-C90B-4B32-AAD8-07FB4B5ADF8B}" type="presOf" srcId="{71D3B13F-28A0-48BE-87A2-3FACB7E16C1C}" destId="{E4EEF2D3-CB58-4E65-B98F-79F8166BEA73}" srcOrd="0" destOrd="0" presId="urn:microsoft.com/office/officeart/2005/8/layout/orgChart1#1"/>
    <dgm:cxn modelId="{2D6F2CA2-34C5-477C-A6B2-B9B9CE36329F}" type="presOf" srcId="{6C48E407-3326-4F09-83BA-38E29D016726}" destId="{63E85DDB-6D18-41FF-B58C-B4D3E5601E79}" srcOrd="1" destOrd="0" presId="urn:microsoft.com/office/officeart/2005/8/layout/orgChart1#1"/>
    <dgm:cxn modelId="{5AB5242F-B637-49A6-94F2-8FF32D50DD8C}" type="presOf" srcId="{F42427B9-4D8A-46E6-BCFB-FEF8134916D6}" destId="{9809791D-3F55-4780-9EE4-C79AF7B05E8F}" srcOrd="0" destOrd="0" presId="urn:microsoft.com/office/officeart/2005/8/layout/orgChart1#1"/>
    <dgm:cxn modelId="{A5FF67A3-394D-497E-AD13-5D26D00D4272}" srcId="{E1906EF2-8B19-45FE-9A74-069ABBF9A392}" destId="{908DBB4E-8224-4F5E-B7AD-E60839A3D094}" srcOrd="0" destOrd="0" parTransId="{590C9D26-BAAD-4A4A-8299-5C1A3B7CE1D7}" sibTransId="{2FD681DA-974A-49DA-8F4B-475813EA76B7}"/>
    <dgm:cxn modelId="{979EDCB0-54BE-4A5F-8BE8-F1D2E440B0E3}" srcId="{908DBB4E-8224-4F5E-B7AD-E60839A3D094}" destId="{BCE010E8-8E7C-4E63-8370-8773FFCE76A6}" srcOrd="1" destOrd="0" parTransId="{F42427B9-4D8A-46E6-BCFB-FEF8134916D6}" sibTransId="{FDBD8D42-1B07-462C-AF32-59921C092201}"/>
    <dgm:cxn modelId="{87CC26E7-907B-481E-889A-0747FB8DF2DD}" type="presOf" srcId="{6B2E9C28-67A5-4B58-B2BB-54C0D84EA003}" destId="{B47A79A2-BE40-468D-A2CA-CCCF14F23659}" srcOrd="0" destOrd="0" presId="urn:microsoft.com/office/officeart/2005/8/layout/orgChart1#1"/>
    <dgm:cxn modelId="{4898BD85-A2B2-449F-AD77-46CA2F3D531B}" srcId="{6B2E9C28-67A5-4B58-B2BB-54C0D84EA003}" destId="{4272CC6D-C9D1-4FD5-9ACA-7427A55AE096}" srcOrd="0" destOrd="0" parTransId="{198D1B20-11FB-4F8C-874F-0D842AFF4B0B}" sibTransId="{7FBA70BB-340F-4BAA-B244-6D3C881B7BFF}"/>
    <dgm:cxn modelId="{5EA8C780-96A9-4FDA-9533-A9368BCE496B}" type="presOf" srcId="{86F42B52-5BEE-4236-9C18-C7527E42B229}" destId="{780BD287-9BA8-4A92-BDA3-E1AD87AD98F0}" srcOrd="1" destOrd="0" presId="urn:microsoft.com/office/officeart/2005/8/layout/orgChart1#1"/>
    <dgm:cxn modelId="{0F42089E-6055-4747-BF0C-AAB95921EF32}" type="presOf" srcId="{ABA51730-EBEA-4DB9-888D-09E7F5C74EEB}" destId="{F6F0F6FC-EFC0-4B49-9804-183A7A2B687D}" srcOrd="0" destOrd="0" presId="urn:microsoft.com/office/officeart/2005/8/layout/orgChart1#1"/>
    <dgm:cxn modelId="{79C2A40D-7BEE-44D3-AD73-B0FA837F4B42}" type="presOf" srcId="{B746464A-8B1A-4189-B6CB-FC71EA010BFC}" destId="{4DA777FB-3A44-4F5A-ACC2-69897F24D186}" srcOrd="1" destOrd="0" presId="urn:microsoft.com/office/officeart/2005/8/layout/orgChart1#1"/>
    <dgm:cxn modelId="{D7C70448-F865-44F8-BD73-9E0AC20521B4}" type="presOf" srcId="{6C48E407-3326-4F09-83BA-38E29D016726}" destId="{163B53BB-F855-4AB2-A153-FA9C48FD5099}" srcOrd="0" destOrd="0" presId="urn:microsoft.com/office/officeart/2005/8/layout/orgChart1#1"/>
    <dgm:cxn modelId="{04954E27-F281-4BF0-84D9-3928A2CFDC41}" type="presOf" srcId="{86F42B52-5BEE-4236-9C18-C7527E42B229}" destId="{44775E2D-A971-4334-A7AA-972D3BF9DCD3}" srcOrd="0" destOrd="0" presId="urn:microsoft.com/office/officeart/2005/8/layout/orgChart1#1"/>
    <dgm:cxn modelId="{640FFA62-A65D-4770-9A33-F1DF26A3ED45}" type="presOf" srcId="{853A4688-B49E-471B-B2A9-7BE17431C769}" destId="{D6AC53F8-007A-4673-B734-06388EE60DA1}" srcOrd="0" destOrd="0" presId="urn:microsoft.com/office/officeart/2005/8/layout/orgChart1#1"/>
    <dgm:cxn modelId="{F4622E27-B3B6-4DC0-896C-049C92E93778}" type="presOf" srcId="{BCE010E8-8E7C-4E63-8370-8773FFCE76A6}" destId="{76BDDAD4-8162-4373-ABF3-7005101F7748}" srcOrd="1" destOrd="0" presId="urn:microsoft.com/office/officeart/2005/8/layout/orgChart1#1"/>
    <dgm:cxn modelId="{CBDC7EE8-3A8C-4FE7-9C34-95A1D08FFE26}" type="presOf" srcId="{4272CC6D-C9D1-4FD5-9ACA-7427A55AE096}" destId="{8FCA0067-9DBF-4114-8727-B1A30211A40A}" srcOrd="0" destOrd="0" presId="urn:microsoft.com/office/officeart/2005/8/layout/orgChart1#1"/>
    <dgm:cxn modelId="{D1B7D328-33C4-4287-8ABD-DD0ECBDD4613}" type="presOf" srcId="{E1906EF2-8B19-45FE-9A74-069ABBF9A392}" destId="{1B8134E1-B6EA-491B-A7A6-D9F7D998384C}" srcOrd="0" destOrd="0" presId="urn:microsoft.com/office/officeart/2005/8/layout/orgChart1#1"/>
    <dgm:cxn modelId="{BB7774A1-1F96-4B4B-8004-9ED42857443D}" type="presOf" srcId="{A22D80F7-2CF1-45D4-88AA-3B58C07399B0}" destId="{FEA55022-F95E-4672-8F9E-8B3DA4FE6E9A}" srcOrd="0" destOrd="0" presId="urn:microsoft.com/office/officeart/2005/8/layout/orgChart1#1"/>
    <dgm:cxn modelId="{C985A995-5DC4-4EDF-88BB-C4E15FF28D3F}" srcId="{908DBB4E-8224-4F5E-B7AD-E60839A3D094}" destId="{6B2E9C28-67A5-4B58-B2BB-54C0D84EA003}" srcOrd="5" destOrd="0" parTransId="{11324C43-3C3B-47D1-A87C-5CC0CEA50C9F}" sibTransId="{2CC78D60-B48D-4416-96CA-C6C7277A527D}"/>
    <dgm:cxn modelId="{42806CE4-5EB8-4F87-A9D8-BC673E63DE97}" type="presOf" srcId="{294773D0-E686-4D71-83A8-2E345EF8E492}" destId="{AD7D7DEC-6F5F-4CF3-B886-B4BF2A9CD9D7}" srcOrd="0" destOrd="0" presId="urn:microsoft.com/office/officeart/2005/8/layout/orgChart1#1"/>
    <dgm:cxn modelId="{D2530FCD-59C1-49A9-ABD9-2D892ECB7444}" srcId="{908DBB4E-8224-4F5E-B7AD-E60839A3D094}" destId="{ABA51730-EBEA-4DB9-888D-09E7F5C74EEB}" srcOrd="4" destOrd="0" parTransId="{4734D4BA-0E52-472E-9486-5352446C0770}" sibTransId="{6F961191-95F8-461D-89B4-02B30293DB43}"/>
    <dgm:cxn modelId="{E4A02464-126E-40C6-A129-8462F16B162F}" type="presOf" srcId="{6B2E9C28-67A5-4B58-B2BB-54C0D84EA003}" destId="{2F16F5AD-1BE6-4DD4-9B48-951CC0A77E01}" srcOrd="1" destOrd="0" presId="urn:microsoft.com/office/officeart/2005/8/layout/orgChart1#1"/>
    <dgm:cxn modelId="{6780AEC1-BC72-4B25-9DBB-DF7604DFFE6D}" type="presOf" srcId="{908DBB4E-8224-4F5E-B7AD-E60839A3D094}" destId="{29B1B02F-F3FA-4CFB-95E4-C07A58F22263}" srcOrd="0" destOrd="0" presId="urn:microsoft.com/office/officeart/2005/8/layout/orgChart1#1"/>
    <dgm:cxn modelId="{DA258070-5833-42EF-B361-45C77C027AE1}" type="presOf" srcId="{853A4688-B49E-471B-B2A9-7BE17431C769}" destId="{CC9773F5-1FE8-41FD-AC54-34C3F125E452}" srcOrd="1" destOrd="0" presId="urn:microsoft.com/office/officeart/2005/8/layout/orgChart1#1"/>
    <dgm:cxn modelId="{222D849D-20F0-4FCC-A31B-9C052BB84789}" type="presOf" srcId="{B746464A-8B1A-4189-B6CB-FC71EA010BFC}" destId="{B60E0CB2-253E-4E5B-A070-9F0E82FB0552}" srcOrd="0" destOrd="0" presId="urn:microsoft.com/office/officeart/2005/8/layout/orgChart1#1"/>
    <dgm:cxn modelId="{1AD1C350-7A50-4F42-91B5-6B13C6E87CD6}" type="presOf" srcId="{198D1B20-11FB-4F8C-874F-0D842AFF4B0B}" destId="{FB337954-1EB2-4999-A0D9-264B42351603}" srcOrd="0" destOrd="0" presId="urn:microsoft.com/office/officeart/2005/8/layout/orgChart1#1"/>
    <dgm:cxn modelId="{6B28748E-8740-4637-844F-1CA09F252B70}" srcId="{908DBB4E-8224-4F5E-B7AD-E60839A3D094}" destId="{B746464A-8B1A-4189-B6CB-FC71EA010BFC}" srcOrd="3" destOrd="0" parTransId="{294773D0-E686-4D71-83A8-2E345EF8E492}" sibTransId="{115E2A69-DC30-4844-B769-0A63C46ECB93}"/>
    <dgm:cxn modelId="{FFF01305-5ABB-48CF-A068-60F862CE536C}" type="presOf" srcId="{8A821CC4-998F-47A3-AC9C-A57707F1F320}" destId="{4365B1F9-81CF-4F16-BF26-557F7B61A58C}" srcOrd="0" destOrd="0" presId="urn:microsoft.com/office/officeart/2005/8/layout/orgChart1#1"/>
    <dgm:cxn modelId="{912A2D65-4057-4C9C-A98F-DA8306257E68}" type="presOf" srcId="{2F9CFC00-3CA0-4518-B42C-73AD190652ED}" destId="{4C19508D-96DA-4229-8FCE-373BD8A36F8E}" srcOrd="0" destOrd="0" presId="urn:microsoft.com/office/officeart/2005/8/layout/orgChart1#1"/>
    <dgm:cxn modelId="{16C32371-6068-451B-AF05-447EBCEAB72E}" type="presOf" srcId="{BCE010E8-8E7C-4E63-8370-8773FFCE76A6}" destId="{15124C24-53EB-4B15-A0B3-3E49495167BD}" srcOrd="0" destOrd="0" presId="urn:microsoft.com/office/officeart/2005/8/layout/orgChart1#1"/>
    <dgm:cxn modelId="{27005064-102F-4D28-9BF7-94118E3E5832}" type="presParOf" srcId="{1B8134E1-B6EA-491B-A7A6-D9F7D998384C}" destId="{11AF4E31-1715-440F-99AB-ECE34361B0C6}" srcOrd="0" destOrd="0" presId="urn:microsoft.com/office/officeart/2005/8/layout/orgChart1#1"/>
    <dgm:cxn modelId="{2F35703F-4C52-4117-8917-B920CA437755}" type="presParOf" srcId="{11AF4E31-1715-440F-99AB-ECE34361B0C6}" destId="{8E3BA50B-5968-41F2-8631-B94EB365334E}" srcOrd="0" destOrd="0" presId="urn:microsoft.com/office/officeart/2005/8/layout/orgChart1#1"/>
    <dgm:cxn modelId="{5E4A0C6E-4DBB-42D2-B31B-9EB88C0C9871}" type="presParOf" srcId="{8E3BA50B-5968-41F2-8631-B94EB365334E}" destId="{29B1B02F-F3FA-4CFB-95E4-C07A58F22263}" srcOrd="0" destOrd="0" presId="urn:microsoft.com/office/officeart/2005/8/layout/orgChart1#1"/>
    <dgm:cxn modelId="{F87D5155-AF6E-4842-9C2B-23B4BBFC3FB6}" type="presParOf" srcId="{8E3BA50B-5968-41F2-8631-B94EB365334E}" destId="{7DD84276-E8D0-44F6-AB78-BD48B00743A9}" srcOrd="1" destOrd="0" presId="urn:microsoft.com/office/officeart/2005/8/layout/orgChart1#1"/>
    <dgm:cxn modelId="{7CF7F91C-4351-4E10-AF0F-61B084CECB3C}" type="presParOf" srcId="{11AF4E31-1715-440F-99AB-ECE34361B0C6}" destId="{5391E17D-B326-4B8A-8252-6777D11E5BA2}" srcOrd="1" destOrd="0" presId="urn:microsoft.com/office/officeart/2005/8/layout/orgChart1#1"/>
    <dgm:cxn modelId="{578E86D8-D4EF-4BE8-BFDA-E07D86E1227B}" type="presParOf" srcId="{5391E17D-B326-4B8A-8252-6777D11E5BA2}" destId="{9809791D-3F55-4780-9EE4-C79AF7B05E8F}" srcOrd="0" destOrd="0" presId="urn:microsoft.com/office/officeart/2005/8/layout/orgChart1#1"/>
    <dgm:cxn modelId="{872F1D9C-BB13-45AF-8D70-F690A1E89171}" type="presParOf" srcId="{5391E17D-B326-4B8A-8252-6777D11E5BA2}" destId="{2B0FC8B0-0462-40FF-89EC-D172894E1CE1}" srcOrd="1" destOrd="0" presId="urn:microsoft.com/office/officeart/2005/8/layout/orgChart1#1"/>
    <dgm:cxn modelId="{9BE38D45-1D61-4ABA-B743-5C26D9A44F1F}" type="presParOf" srcId="{2B0FC8B0-0462-40FF-89EC-D172894E1CE1}" destId="{BE62D320-5E76-417E-9441-E8259E4E0B74}" srcOrd="0" destOrd="0" presId="urn:microsoft.com/office/officeart/2005/8/layout/orgChart1#1"/>
    <dgm:cxn modelId="{F31CE937-D7FF-4E05-A9BE-007FE02DB36D}" type="presParOf" srcId="{BE62D320-5E76-417E-9441-E8259E4E0B74}" destId="{15124C24-53EB-4B15-A0B3-3E49495167BD}" srcOrd="0" destOrd="0" presId="urn:microsoft.com/office/officeart/2005/8/layout/orgChart1#1"/>
    <dgm:cxn modelId="{B464CBD5-46F0-44CA-AE1D-F44BD028F4F6}" type="presParOf" srcId="{BE62D320-5E76-417E-9441-E8259E4E0B74}" destId="{76BDDAD4-8162-4373-ABF3-7005101F7748}" srcOrd="1" destOrd="0" presId="urn:microsoft.com/office/officeart/2005/8/layout/orgChart1#1"/>
    <dgm:cxn modelId="{C6852F65-A775-4DB7-833A-2C3346C152E3}" type="presParOf" srcId="{2B0FC8B0-0462-40FF-89EC-D172894E1CE1}" destId="{8E685B29-821B-4F2D-9EC0-7502252AF5DB}" srcOrd="1" destOrd="0" presId="urn:microsoft.com/office/officeart/2005/8/layout/orgChart1#1"/>
    <dgm:cxn modelId="{30B9CEDE-3794-4D7A-84E7-B2DCB13E979F}" type="presParOf" srcId="{2B0FC8B0-0462-40FF-89EC-D172894E1CE1}" destId="{83C417BA-05D9-48CE-B566-C1ED152F1B3F}" srcOrd="2" destOrd="0" presId="urn:microsoft.com/office/officeart/2005/8/layout/orgChart1#1"/>
    <dgm:cxn modelId="{EEC47B50-4E76-4542-B74C-B3E87B25F0C5}" type="presParOf" srcId="{5391E17D-B326-4B8A-8252-6777D11E5BA2}" destId="{FEA55022-F95E-4672-8F9E-8B3DA4FE6E9A}" srcOrd="2" destOrd="0" presId="urn:microsoft.com/office/officeart/2005/8/layout/orgChart1#1"/>
    <dgm:cxn modelId="{3A6E1055-EF03-46BB-B610-0C1BB81055B3}" type="presParOf" srcId="{5391E17D-B326-4B8A-8252-6777D11E5BA2}" destId="{DAAF60B6-043A-439A-8F06-A543E126718D}" srcOrd="3" destOrd="0" presId="urn:microsoft.com/office/officeart/2005/8/layout/orgChart1#1"/>
    <dgm:cxn modelId="{891E56D8-FF6B-4741-8696-BE4DED146AC8}" type="presParOf" srcId="{DAAF60B6-043A-439A-8F06-A543E126718D}" destId="{F286F022-1D1E-4268-AF40-10AEA999405A}" srcOrd="0" destOrd="0" presId="urn:microsoft.com/office/officeart/2005/8/layout/orgChart1#1"/>
    <dgm:cxn modelId="{CBA90FDB-EF02-4224-92E8-BE6B1582C5AA}" type="presParOf" srcId="{F286F022-1D1E-4268-AF40-10AEA999405A}" destId="{D6AC53F8-007A-4673-B734-06388EE60DA1}" srcOrd="0" destOrd="0" presId="urn:microsoft.com/office/officeart/2005/8/layout/orgChart1#1"/>
    <dgm:cxn modelId="{87254892-4E42-4348-9837-33EB4FDC4CDF}" type="presParOf" srcId="{F286F022-1D1E-4268-AF40-10AEA999405A}" destId="{CC9773F5-1FE8-41FD-AC54-34C3F125E452}" srcOrd="1" destOrd="0" presId="urn:microsoft.com/office/officeart/2005/8/layout/orgChart1#1"/>
    <dgm:cxn modelId="{D1E6C65F-986E-40EB-BCC9-FAB953DBB874}" type="presParOf" srcId="{DAAF60B6-043A-439A-8F06-A543E126718D}" destId="{D450CBCF-C26B-4FE4-B44E-19238CBC7279}" srcOrd="1" destOrd="0" presId="urn:microsoft.com/office/officeart/2005/8/layout/orgChart1#1"/>
    <dgm:cxn modelId="{BD680997-9985-40F5-8D38-5E0609728D43}" type="presParOf" srcId="{DAAF60B6-043A-439A-8F06-A543E126718D}" destId="{1A73EE41-19F8-47F5-AF93-2202E2C4B2A0}" srcOrd="2" destOrd="0" presId="urn:microsoft.com/office/officeart/2005/8/layout/orgChart1#1"/>
    <dgm:cxn modelId="{19860402-B2BD-4A9F-BDC2-472C27831F96}" type="presParOf" srcId="{5391E17D-B326-4B8A-8252-6777D11E5BA2}" destId="{AD7D7DEC-6F5F-4CF3-B886-B4BF2A9CD9D7}" srcOrd="4" destOrd="0" presId="urn:microsoft.com/office/officeart/2005/8/layout/orgChart1#1"/>
    <dgm:cxn modelId="{09336B7A-0495-4463-8168-E587670A9641}" type="presParOf" srcId="{5391E17D-B326-4B8A-8252-6777D11E5BA2}" destId="{6223A595-8483-48B2-9DEB-355647C3B159}" srcOrd="5" destOrd="0" presId="urn:microsoft.com/office/officeart/2005/8/layout/orgChart1#1"/>
    <dgm:cxn modelId="{9DC8B18A-A1C6-4106-BABE-E68F7D3C195D}" type="presParOf" srcId="{6223A595-8483-48B2-9DEB-355647C3B159}" destId="{0FFAA956-0292-4586-85BF-3ADC4EF7F530}" srcOrd="0" destOrd="0" presId="urn:microsoft.com/office/officeart/2005/8/layout/orgChart1#1"/>
    <dgm:cxn modelId="{92A35185-FC2A-4816-BB34-39D6BD3C72D6}" type="presParOf" srcId="{0FFAA956-0292-4586-85BF-3ADC4EF7F530}" destId="{B60E0CB2-253E-4E5B-A070-9F0E82FB0552}" srcOrd="0" destOrd="0" presId="urn:microsoft.com/office/officeart/2005/8/layout/orgChart1#1"/>
    <dgm:cxn modelId="{1EA5F583-1513-4EF8-A40C-08938F87D9AA}" type="presParOf" srcId="{0FFAA956-0292-4586-85BF-3ADC4EF7F530}" destId="{4DA777FB-3A44-4F5A-ACC2-69897F24D186}" srcOrd="1" destOrd="0" presId="urn:microsoft.com/office/officeart/2005/8/layout/orgChart1#1"/>
    <dgm:cxn modelId="{87B6BC71-9A53-48D5-88DC-52739ED709E2}" type="presParOf" srcId="{6223A595-8483-48B2-9DEB-355647C3B159}" destId="{848C9317-1E36-480A-A5F0-227137E19052}" srcOrd="1" destOrd="0" presId="urn:microsoft.com/office/officeart/2005/8/layout/orgChart1#1"/>
    <dgm:cxn modelId="{C595D32B-87BD-44CF-B74C-F300FDF051F1}" type="presParOf" srcId="{6223A595-8483-48B2-9DEB-355647C3B159}" destId="{4A55513A-6A10-4072-A212-73308AF8D3B9}" srcOrd="2" destOrd="0" presId="urn:microsoft.com/office/officeart/2005/8/layout/orgChart1#1"/>
    <dgm:cxn modelId="{D5A105C0-624D-4215-B78D-DF7143994850}" type="presParOf" srcId="{5391E17D-B326-4B8A-8252-6777D11E5BA2}" destId="{3F22CE90-25C8-4F72-B6AC-B645FF1378DF}" srcOrd="6" destOrd="0" presId="urn:microsoft.com/office/officeart/2005/8/layout/orgChart1#1"/>
    <dgm:cxn modelId="{9BDAB80B-143F-4D9B-B190-0D5BE1413BEF}" type="presParOf" srcId="{5391E17D-B326-4B8A-8252-6777D11E5BA2}" destId="{A7188563-0B37-494B-9DC4-E6ABB51C0A21}" srcOrd="7" destOrd="0" presId="urn:microsoft.com/office/officeart/2005/8/layout/orgChart1#1"/>
    <dgm:cxn modelId="{B46DD132-C37F-4540-B81B-1CEF62FA2B9D}" type="presParOf" srcId="{A7188563-0B37-494B-9DC4-E6ABB51C0A21}" destId="{B2E5648A-944E-415F-B7D3-300879CC13A6}" srcOrd="0" destOrd="0" presId="urn:microsoft.com/office/officeart/2005/8/layout/orgChart1#1"/>
    <dgm:cxn modelId="{624DE6BB-BE45-43F9-8AB9-C9126B3FC45B}" type="presParOf" srcId="{B2E5648A-944E-415F-B7D3-300879CC13A6}" destId="{F6F0F6FC-EFC0-4B49-9804-183A7A2B687D}" srcOrd="0" destOrd="0" presId="urn:microsoft.com/office/officeart/2005/8/layout/orgChart1#1"/>
    <dgm:cxn modelId="{AE53C3F1-2DBD-49C1-B10F-8F1E6A7C8197}" type="presParOf" srcId="{B2E5648A-944E-415F-B7D3-300879CC13A6}" destId="{EF418B4B-F731-480B-8501-9A78B28C04C3}" srcOrd="1" destOrd="0" presId="urn:microsoft.com/office/officeart/2005/8/layout/orgChart1#1"/>
    <dgm:cxn modelId="{00BD3696-65D6-4A16-9FFC-32C4EB4F9C64}" type="presParOf" srcId="{A7188563-0B37-494B-9DC4-E6ABB51C0A21}" destId="{695692BB-C4FF-42B1-A87C-B8B844B5BA51}" srcOrd="1" destOrd="0" presId="urn:microsoft.com/office/officeart/2005/8/layout/orgChart1#1"/>
    <dgm:cxn modelId="{847252AF-3125-4C63-8CBE-98B6DC2C23F3}" type="presParOf" srcId="{A7188563-0B37-494B-9DC4-E6ABB51C0A21}" destId="{8AADE29E-6094-4D87-9387-A776EA8D6DAF}" srcOrd="2" destOrd="0" presId="urn:microsoft.com/office/officeart/2005/8/layout/orgChart1#1"/>
    <dgm:cxn modelId="{7BD62F4B-FE26-4CA2-A1FE-01519579EE50}" type="presParOf" srcId="{5391E17D-B326-4B8A-8252-6777D11E5BA2}" destId="{93B8CD70-6011-4EBD-BBD7-36BF900982BB}" srcOrd="8" destOrd="0" presId="urn:microsoft.com/office/officeart/2005/8/layout/orgChart1#1"/>
    <dgm:cxn modelId="{1B20EAB8-7C3F-43E3-8B26-F672C045E6F4}" type="presParOf" srcId="{5391E17D-B326-4B8A-8252-6777D11E5BA2}" destId="{3C94082C-DC58-42FA-A846-632D3330CBCE}" srcOrd="9" destOrd="0" presId="urn:microsoft.com/office/officeart/2005/8/layout/orgChart1#1"/>
    <dgm:cxn modelId="{49123B9A-8AD2-4ACA-AFA2-F73969FE4CA4}" type="presParOf" srcId="{3C94082C-DC58-42FA-A846-632D3330CBCE}" destId="{6A990B2D-8F9A-406E-8024-FD2A2184531C}" srcOrd="0" destOrd="0" presId="urn:microsoft.com/office/officeart/2005/8/layout/orgChart1#1"/>
    <dgm:cxn modelId="{A9D656BA-5742-472D-9AFE-04CAB8668EC2}" type="presParOf" srcId="{6A990B2D-8F9A-406E-8024-FD2A2184531C}" destId="{B47A79A2-BE40-468D-A2CA-CCCF14F23659}" srcOrd="0" destOrd="0" presId="urn:microsoft.com/office/officeart/2005/8/layout/orgChart1#1"/>
    <dgm:cxn modelId="{861DF914-777E-4DC5-867B-FC2D8DDB6088}" type="presParOf" srcId="{6A990B2D-8F9A-406E-8024-FD2A2184531C}" destId="{2F16F5AD-1BE6-4DD4-9B48-951CC0A77E01}" srcOrd="1" destOrd="0" presId="urn:microsoft.com/office/officeart/2005/8/layout/orgChart1#1"/>
    <dgm:cxn modelId="{60CE9317-1C40-4AC9-A7E6-34AA623A0E65}" type="presParOf" srcId="{3C94082C-DC58-42FA-A846-632D3330CBCE}" destId="{3E06EC10-3827-4371-8DE0-D65BF0EF32AA}" srcOrd="1" destOrd="0" presId="urn:microsoft.com/office/officeart/2005/8/layout/orgChart1#1"/>
    <dgm:cxn modelId="{4CF5CB1F-2298-493C-BB85-433170812D75}" type="presParOf" srcId="{3E06EC10-3827-4371-8DE0-D65BF0EF32AA}" destId="{FB337954-1EB2-4999-A0D9-264B42351603}" srcOrd="0" destOrd="0" presId="urn:microsoft.com/office/officeart/2005/8/layout/orgChart1#1"/>
    <dgm:cxn modelId="{2EBE200B-ABC8-4324-9B3E-A9F70761BA1E}" type="presParOf" srcId="{3E06EC10-3827-4371-8DE0-D65BF0EF32AA}" destId="{46EFAB4F-1C9C-40EC-AF8B-4A5E296C9BB6}" srcOrd="1" destOrd="0" presId="urn:microsoft.com/office/officeart/2005/8/layout/orgChart1#1"/>
    <dgm:cxn modelId="{9135F6BA-37B5-4935-A637-D9B3C7949317}" type="presParOf" srcId="{46EFAB4F-1C9C-40EC-AF8B-4A5E296C9BB6}" destId="{556AFCA1-4FD2-4485-A609-44D3A7211403}" srcOrd="0" destOrd="0" presId="urn:microsoft.com/office/officeart/2005/8/layout/orgChart1#1"/>
    <dgm:cxn modelId="{D0819473-9E46-4EC6-AB5D-B6F5F5FEFCD6}" type="presParOf" srcId="{556AFCA1-4FD2-4485-A609-44D3A7211403}" destId="{8FCA0067-9DBF-4114-8727-B1A30211A40A}" srcOrd="0" destOrd="0" presId="urn:microsoft.com/office/officeart/2005/8/layout/orgChart1#1"/>
    <dgm:cxn modelId="{2EA4A83B-7CB0-42D9-8804-B27C9E6B5781}" type="presParOf" srcId="{556AFCA1-4FD2-4485-A609-44D3A7211403}" destId="{F349CAF2-5665-4894-9B41-B306618D3729}" srcOrd="1" destOrd="0" presId="urn:microsoft.com/office/officeart/2005/8/layout/orgChart1#1"/>
    <dgm:cxn modelId="{46DF9D89-21DA-4FF5-B0CF-BDDD11E6056F}" type="presParOf" srcId="{46EFAB4F-1C9C-40EC-AF8B-4A5E296C9BB6}" destId="{BEEE6816-81D2-4356-AED0-8F0B33D3AA64}" srcOrd="1" destOrd="0" presId="urn:microsoft.com/office/officeart/2005/8/layout/orgChart1#1"/>
    <dgm:cxn modelId="{B6A49C14-55EE-4CEE-B000-A5AFA51791CD}" type="presParOf" srcId="{46EFAB4F-1C9C-40EC-AF8B-4A5E296C9BB6}" destId="{1C1D5DE8-1FC7-42C1-893A-A9091229BC86}" srcOrd="2" destOrd="0" presId="urn:microsoft.com/office/officeart/2005/8/layout/orgChart1#1"/>
    <dgm:cxn modelId="{C0624CCD-7D8F-4B93-8AB5-3BB072D4E266}" type="presParOf" srcId="{3E06EC10-3827-4371-8DE0-D65BF0EF32AA}" destId="{4365B1F9-81CF-4F16-BF26-557F7B61A58C}" srcOrd="2" destOrd="0" presId="urn:microsoft.com/office/officeart/2005/8/layout/orgChart1#1"/>
    <dgm:cxn modelId="{95A34A24-9745-4CE7-B62E-75B00A5D3342}" type="presParOf" srcId="{3E06EC10-3827-4371-8DE0-D65BF0EF32AA}" destId="{F2544D8D-B0B5-4424-908D-D8050E152AD1}" srcOrd="3" destOrd="0" presId="urn:microsoft.com/office/officeart/2005/8/layout/orgChart1#1"/>
    <dgm:cxn modelId="{9F17C81A-1381-4080-B9D5-4C696C790183}" type="presParOf" srcId="{F2544D8D-B0B5-4424-908D-D8050E152AD1}" destId="{F6C25899-41FD-4385-90FF-A66DAA88D13A}" srcOrd="0" destOrd="0" presId="urn:microsoft.com/office/officeart/2005/8/layout/orgChart1#1"/>
    <dgm:cxn modelId="{8FE99DE0-4556-4AE8-87E8-4F9ACF064D46}" type="presParOf" srcId="{F6C25899-41FD-4385-90FF-A66DAA88D13A}" destId="{4C19508D-96DA-4229-8FCE-373BD8A36F8E}" srcOrd="0" destOrd="0" presId="urn:microsoft.com/office/officeart/2005/8/layout/orgChart1#1"/>
    <dgm:cxn modelId="{DCCFBF3A-B634-4A55-91A6-0A0092CD7DF7}" type="presParOf" srcId="{F6C25899-41FD-4385-90FF-A66DAA88D13A}" destId="{5D7D68DC-BEE0-4E9D-B72A-925F7F56DB27}" srcOrd="1" destOrd="0" presId="urn:microsoft.com/office/officeart/2005/8/layout/orgChart1#1"/>
    <dgm:cxn modelId="{191305F5-5CFA-4CC2-B162-54B4CA1FC027}" type="presParOf" srcId="{F2544D8D-B0B5-4424-908D-D8050E152AD1}" destId="{3295AD7F-03F5-4635-9870-9EACE597FDD4}" srcOrd="1" destOrd="0" presId="urn:microsoft.com/office/officeart/2005/8/layout/orgChart1#1"/>
    <dgm:cxn modelId="{AE75766D-652B-4176-8F3D-CE04D8513935}" type="presParOf" srcId="{F2544D8D-B0B5-4424-908D-D8050E152AD1}" destId="{21207334-7F37-48DC-8C7B-835956B90973}" srcOrd="2" destOrd="0" presId="urn:microsoft.com/office/officeart/2005/8/layout/orgChart1#1"/>
    <dgm:cxn modelId="{24E4156D-9D51-4CA9-8112-C5D4821B2214}" type="presParOf" srcId="{3C94082C-DC58-42FA-A846-632D3330CBCE}" destId="{EBDAB269-CE49-40E2-BE0A-6CE106B5CC7F}" srcOrd="2" destOrd="0" presId="urn:microsoft.com/office/officeart/2005/8/layout/orgChart1#1"/>
    <dgm:cxn modelId="{F22B08E0-8044-4A3C-8D0D-2F880D050AF1}" type="presParOf" srcId="{5391E17D-B326-4B8A-8252-6777D11E5BA2}" destId="{C1BF9873-7A73-401E-891C-003E79A1C45F}" srcOrd="10" destOrd="0" presId="urn:microsoft.com/office/officeart/2005/8/layout/orgChart1#1"/>
    <dgm:cxn modelId="{ACE36958-A086-4785-A174-9BFC1836AC20}" type="presParOf" srcId="{5391E17D-B326-4B8A-8252-6777D11E5BA2}" destId="{114297CE-8A80-4B45-8477-717377CCCB74}" srcOrd="11" destOrd="0" presId="urn:microsoft.com/office/officeart/2005/8/layout/orgChart1#1"/>
    <dgm:cxn modelId="{C8A0B8CB-9630-4FAA-B3DD-87B0F09D9053}" type="presParOf" srcId="{114297CE-8A80-4B45-8477-717377CCCB74}" destId="{7E08E61E-95E7-405D-967B-C712F6C9A0F9}" srcOrd="0" destOrd="0" presId="urn:microsoft.com/office/officeart/2005/8/layout/orgChart1#1"/>
    <dgm:cxn modelId="{88B10DDE-6E53-4BDA-8684-14AD13F8AE5E}" type="presParOf" srcId="{7E08E61E-95E7-405D-967B-C712F6C9A0F9}" destId="{44775E2D-A971-4334-A7AA-972D3BF9DCD3}" srcOrd="0" destOrd="0" presId="urn:microsoft.com/office/officeart/2005/8/layout/orgChart1#1"/>
    <dgm:cxn modelId="{B615384C-0BB7-4EC5-A4D1-2A439FDE9FCC}" type="presParOf" srcId="{7E08E61E-95E7-405D-967B-C712F6C9A0F9}" destId="{780BD287-9BA8-4A92-BDA3-E1AD87AD98F0}" srcOrd="1" destOrd="0" presId="urn:microsoft.com/office/officeart/2005/8/layout/orgChart1#1"/>
    <dgm:cxn modelId="{D66BDD1F-10DE-4ED4-B1CE-8572BA5789F0}" type="presParOf" srcId="{114297CE-8A80-4B45-8477-717377CCCB74}" destId="{1847D064-3EBD-4FDC-BADA-1606470C1D9B}" srcOrd="1" destOrd="0" presId="urn:microsoft.com/office/officeart/2005/8/layout/orgChart1#1"/>
    <dgm:cxn modelId="{217913A6-699B-4127-ADC4-C7E694DCC76B}" type="presParOf" srcId="{114297CE-8A80-4B45-8477-717377CCCB74}" destId="{DC1776CA-DE95-45F3-94DF-7AA4C58436DE}" srcOrd="2" destOrd="0" presId="urn:microsoft.com/office/officeart/2005/8/layout/orgChart1#1"/>
    <dgm:cxn modelId="{DA8FF823-9D5C-4D3E-8221-B41950058DF8}" type="presParOf" srcId="{11AF4E31-1715-440F-99AB-ECE34361B0C6}" destId="{631A71A7-8822-4E18-8A25-1628ED78D39A}" srcOrd="2" destOrd="0" presId="urn:microsoft.com/office/officeart/2005/8/layout/orgChart1#1"/>
    <dgm:cxn modelId="{945AB01D-7163-47D0-A59E-34AD60366570}" type="presParOf" srcId="{631A71A7-8822-4E18-8A25-1628ED78D39A}" destId="{E4EEF2D3-CB58-4E65-B98F-79F8166BEA73}" srcOrd="0" destOrd="0" presId="urn:microsoft.com/office/officeart/2005/8/layout/orgChart1#1"/>
    <dgm:cxn modelId="{590F4F85-6458-4702-9E8F-BA8674E3466F}" type="presParOf" srcId="{631A71A7-8822-4E18-8A25-1628ED78D39A}" destId="{28F1F07C-79E9-4603-BA67-61D6CB8A276F}" srcOrd="1" destOrd="0" presId="urn:microsoft.com/office/officeart/2005/8/layout/orgChart1#1"/>
    <dgm:cxn modelId="{7071B4BB-4489-43D9-99F4-98F25D4FF317}" type="presParOf" srcId="{28F1F07C-79E9-4603-BA67-61D6CB8A276F}" destId="{7C0B93F1-8EFF-4B69-9921-D744344F1D80}" srcOrd="0" destOrd="0" presId="urn:microsoft.com/office/officeart/2005/8/layout/orgChart1#1"/>
    <dgm:cxn modelId="{743A4843-5ED5-4423-B21F-65EAA3DFF32B}" type="presParOf" srcId="{7C0B93F1-8EFF-4B69-9921-D744344F1D80}" destId="{163B53BB-F855-4AB2-A153-FA9C48FD5099}" srcOrd="0" destOrd="0" presId="urn:microsoft.com/office/officeart/2005/8/layout/orgChart1#1"/>
    <dgm:cxn modelId="{0D67B5BB-572D-4A2B-946F-9E7F378F71C3}" type="presParOf" srcId="{7C0B93F1-8EFF-4B69-9921-D744344F1D80}" destId="{63E85DDB-6D18-41FF-B58C-B4D3E5601E79}" srcOrd="1" destOrd="0" presId="urn:microsoft.com/office/officeart/2005/8/layout/orgChart1#1"/>
    <dgm:cxn modelId="{99AE4ACF-EBAB-472B-8FBA-83B3B41A3540}" type="presParOf" srcId="{28F1F07C-79E9-4603-BA67-61D6CB8A276F}" destId="{75AB0F92-5578-420C-8898-B3A66A09EA59}" srcOrd="1" destOrd="0" presId="urn:microsoft.com/office/officeart/2005/8/layout/orgChart1#1"/>
    <dgm:cxn modelId="{248C4858-0892-4F65-B844-F35EC6BF4768}" type="presParOf" srcId="{28F1F07C-79E9-4603-BA67-61D6CB8A276F}" destId="{17720F72-3C86-45C3-A2A2-DE9EA6443DBD}"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6936105" cy="3418840"/>
        <a:chOff x="0" y="0"/>
        <a:chExt cx="6936105" cy="3418840"/>
      </a:xfrm>
    </dsp:grpSpPr>
    <dsp:sp modelId="{9809791D-3F55-4780-9EE4-C79AF7B05E8F}">
      <dsp:nvSpPr>
        <dsp:cNvPr id="5" name="任意多边形 4"/>
        <dsp:cNvSpPr/>
      </dsp:nvSpPr>
      <dsp:spPr bwMode="white">
        <a:xfrm>
          <a:off x="491922" y="558322"/>
          <a:ext cx="2976130" cy="905137"/>
        </a:xfrm>
        <a:custGeom>
          <a:avLst/>
          <a:gdLst/>
          <a:ahLst/>
          <a:cxnLst/>
          <a:pathLst>
            <a:path w="4687" h="1425">
              <a:moveTo>
                <a:pt x="4687" y="0"/>
              </a:moveTo>
              <a:lnTo>
                <a:pt x="4687" y="1263"/>
              </a:lnTo>
              <a:lnTo>
                <a:pt x="0" y="1263"/>
              </a:lnTo>
              <a:lnTo>
                <a:pt x="0" y="1425"/>
              </a:lnTo>
            </a:path>
          </a:pathLst>
        </a:custGeom>
      </dsp:spPr>
      <dsp:style>
        <a:lnRef idx="2">
          <a:schemeClr val="accent1">
            <a:shade val="60000"/>
          </a:schemeClr>
        </a:lnRef>
        <a:fillRef idx="0">
          <a:schemeClr val="accent1"/>
        </a:fillRef>
        <a:effectRef idx="0">
          <a:scrgbClr r="0" g="0" b="0"/>
        </a:effectRef>
        <a:fontRef idx="minor"/>
      </dsp:style>
      <dsp:txXfrm>
        <a:off x="491922" y="558322"/>
        <a:ext cx="2976130" cy="905137"/>
      </dsp:txXfrm>
    </dsp:sp>
    <dsp:sp modelId="{FEA55022-F95E-4672-8F9E-8B3DA4FE6E9A}">
      <dsp:nvSpPr>
        <dsp:cNvPr id="8" name="任意多边形 7"/>
        <dsp:cNvSpPr/>
      </dsp:nvSpPr>
      <dsp:spPr bwMode="white">
        <a:xfrm>
          <a:off x="1682374" y="558322"/>
          <a:ext cx="1785678" cy="905137"/>
        </a:xfrm>
        <a:custGeom>
          <a:avLst/>
          <a:gdLst/>
          <a:ahLst/>
          <a:cxnLst/>
          <a:pathLst>
            <a:path w="2812" h="1425">
              <a:moveTo>
                <a:pt x="2812" y="0"/>
              </a:moveTo>
              <a:lnTo>
                <a:pt x="2812" y="1263"/>
              </a:lnTo>
              <a:lnTo>
                <a:pt x="0" y="1263"/>
              </a:lnTo>
              <a:lnTo>
                <a:pt x="0" y="1425"/>
              </a:lnTo>
            </a:path>
          </a:pathLst>
        </a:custGeom>
      </dsp:spPr>
      <dsp:style>
        <a:lnRef idx="2">
          <a:schemeClr val="accent1">
            <a:shade val="60000"/>
          </a:schemeClr>
        </a:lnRef>
        <a:fillRef idx="0">
          <a:schemeClr val="accent1"/>
        </a:fillRef>
        <a:effectRef idx="0">
          <a:scrgbClr r="0" g="0" b="0"/>
        </a:effectRef>
        <a:fontRef idx="minor"/>
      </dsp:style>
      <dsp:txXfrm>
        <a:off x="1682374" y="558322"/>
        <a:ext cx="1785678" cy="905137"/>
      </dsp:txXfrm>
    </dsp:sp>
    <dsp:sp modelId="{AD7D7DEC-6F5F-4CF3-B886-B4BF2A9CD9D7}">
      <dsp:nvSpPr>
        <dsp:cNvPr id="11" name="任意多边形 10"/>
        <dsp:cNvSpPr/>
      </dsp:nvSpPr>
      <dsp:spPr bwMode="white">
        <a:xfrm>
          <a:off x="2872826" y="558322"/>
          <a:ext cx="595226" cy="905137"/>
        </a:xfrm>
        <a:custGeom>
          <a:avLst/>
          <a:gdLst/>
          <a:ahLst/>
          <a:cxnLst/>
          <a:pathLst>
            <a:path w="937" h="1425">
              <a:moveTo>
                <a:pt x="937" y="0"/>
              </a:moveTo>
              <a:lnTo>
                <a:pt x="937" y="1263"/>
              </a:lnTo>
              <a:lnTo>
                <a:pt x="0" y="1263"/>
              </a:lnTo>
              <a:lnTo>
                <a:pt x="0" y="1425"/>
              </a:lnTo>
            </a:path>
          </a:pathLst>
        </a:custGeom>
      </dsp:spPr>
      <dsp:style>
        <a:lnRef idx="2">
          <a:schemeClr val="accent1">
            <a:shade val="60000"/>
          </a:schemeClr>
        </a:lnRef>
        <a:fillRef idx="0">
          <a:schemeClr val="accent1"/>
        </a:fillRef>
        <a:effectRef idx="0">
          <a:scrgbClr r="0" g="0" b="0"/>
        </a:effectRef>
        <a:fontRef idx="minor"/>
      </dsp:style>
      <dsp:txXfrm>
        <a:off x="2872826" y="558322"/>
        <a:ext cx="595226" cy="905137"/>
      </dsp:txXfrm>
    </dsp:sp>
    <dsp:sp modelId="{3F22CE90-25C8-4F72-B6AC-B645FF1378DF}">
      <dsp:nvSpPr>
        <dsp:cNvPr id="14" name="任意多边形 13"/>
        <dsp:cNvSpPr/>
      </dsp:nvSpPr>
      <dsp:spPr bwMode="white">
        <a:xfrm>
          <a:off x="3468053" y="558322"/>
          <a:ext cx="595226" cy="905137"/>
        </a:xfrm>
        <a:custGeom>
          <a:avLst/>
          <a:gdLst/>
          <a:ahLst/>
          <a:cxnLst/>
          <a:pathLst>
            <a:path w="937" h="1425">
              <a:moveTo>
                <a:pt x="0" y="0"/>
              </a:moveTo>
              <a:lnTo>
                <a:pt x="0" y="1263"/>
              </a:lnTo>
              <a:lnTo>
                <a:pt x="937" y="1263"/>
              </a:lnTo>
              <a:lnTo>
                <a:pt x="937" y="1425"/>
              </a:lnTo>
            </a:path>
          </a:pathLst>
        </a:custGeom>
      </dsp:spPr>
      <dsp:style>
        <a:lnRef idx="2">
          <a:schemeClr val="accent1">
            <a:shade val="60000"/>
          </a:schemeClr>
        </a:lnRef>
        <a:fillRef idx="0">
          <a:schemeClr val="accent1"/>
        </a:fillRef>
        <a:effectRef idx="0">
          <a:scrgbClr r="0" g="0" b="0"/>
        </a:effectRef>
        <a:fontRef idx="minor"/>
      </dsp:style>
      <dsp:txXfrm>
        <a:off x="3468053" y="558322"/>
        <a:ext cx="595226" cy="905137"/>
      </dsp:txXfrm>
    </dsp:sp>
    <dsp:sp modelId="{93B8CD70-6011-4EBD-BBD7-36BF900982BB}">
      <dsp:nvSpPr>
        <dsp:cNvPr id="17" name="任意多边形 16"/>
        <dsp:cNvSpPr/>
      </dsp:nvSpPr>
      <dsp:spPr bwMode="white">
        <a:xfrm>
          <a:off x="3468053" y="558322"/>
          <a:ext cx="1785678" cy="905137"/>
        </a:xfrm>
        <a:custGeom>
          <a:avLst/>
          <a:gdLst/>
          <a:ahLst/>
          <a:cxnLst/>
          <a:pathLst>
            <a:path w="2812" h="1425">
              <a:moveTo>
                <a:pt x="0" y="0"/>
              </a:moveTo>
              <a:lnTo>
                <a:pt x="0" y="1263"/>
              </a:lnTo>
              <a:lnTo>
                <a:pt x="2812" y="1263"/>
              </a:lnTo>
              <a:lnTo>
                <a:pt x="2812" y="1425"/>
              </a:lnTo>
            </a:path>
          </a:pathLst>
        </a:custGeom>
      </dsp:spPr>
      <dsp:style>
        <a:lnRef idx="2">
          <a:schemeClr val="accent1">
            <a:shade val="60000"/>
          </a:schemeClr>
        </a:lnRef>
        <a:fillRef idx="0">
          <a:schemeClr val="accent1"/>
        </a:fillRef>
        <a:effectRef idx="0">
          <a:scrgbClr r="0" g="0" b="0"/>
        </a:effectRef>
        <a:fontRef idx="minor"/>
      </dsp:style>
      <dsp:txXfrm>
        <a:off x="3468053" y="558322"/>
        <a:ext cx="1785678" cy="905137"/>
      </dsp:txXfrm>
    </dsp:sp>
    <dsp:sp modelId="{FB337954-1EB2-4999-A0D9-264B42351603}">
      <dsp:nvSpPr>
        <dsp:cNvPr id="20" name="任意多边形 19"/>
        <dsp:cNvSpPr/>
      </dsp:nvSpPr>
      <dsp:spPr bwMode="white">
        <a:xfrm>
          <a:off x="4860193" y="1955381"/>
          <a:ext cx="147577" cy="452569"/>
        </a:xfrm>
        <a:custGeom>
          <a:avLst/>
          <a:gdLst/>
          <a:ahLst/>
          <a:cxnLst/>
          <a:pathLst>
            <a:path w="232" h="713">
              <a:moveTo>
                <a:pt x="0" y="0"/>
              </a:moveTo>
              <a:lnTo>
                <a:pt x="0" y="713"/>
              </a:lnTo>
              <a:lnTo>
                <a:pt x="232" y="713"/>
              </a:lnTo>
            </a:path>
          </a:pathLst>
        </a:custGeom>
      </dsp:spPr>
      <dsp:style>
        <a:lnRef idx="2">
          <a:schemeClr val="accent1">
            <a:shade val="80000"/>
          </a:schemeClr>
        </a:lnRef>
        <a:fillRef idx="0">
          <a:schemeClr val="accent1"/>
        </a:fillRef>
        <a:effectRef idx="0">
          <a:scrgbClr r="0" g="0" b="0"/>
        </a:effectRef>
        <a:fontRef idx="minor"/>
      </dsp:style>
      <dsp:txXfrm>
        <a:off x="4860193" y="1955381"/>
        <a:ext cx="147577" cy="452569"/>
      </dsp:txXfrm>
    </dsp:sp>
    <dsp:sp modelId="{4365B1F9-81CF-4F16-BF26-557F7B61A58C}">
      <dsp:nvSpPr>
        <dsp:cNvPr id="23" name="任意多边形 22"/>
        <dsp:cNvSpPr/>
      </dsp:nvSpPr>
      <dsp:spPr bwMode="white">
        <a:xfrm>
          <a:off x="4860193" y="1955381"/>
          <a:ext cx="147577" cy="1151098"/>
        </a:xfrm>
        <a:custGeom>
          <a:avLst/>
          <a:gdLst/>
          <a:ahLst/>
          <a:cxnLst/>
          <a:pathLst>
            <a:path w="232" h="1813">
              <a:moveTo>
                <a:pt x="0" y="0"/>
              </a:moveTo>
              <a:lnTo>
                <a:pt x="0" y="1813"/>
              </a:lnTo>
              <a:lnTo>
                <a:pt x="232" y="1813"/>
              </a:lnTo>
            </a:path>
          </a:pathLst>
        </a:custGeom>
      </dsp:spPr>
      <dsp:style>
        <a:lnRef idx="2">
          <a:schemeClr val="accent1">
            <a:shade val="80000"/>
          </a:schemeClr>
        </a:lnRef>
        <a:fillRef idx="0">
          <a:schemeClr val="accent1"/>
        </a:fillRef>
        <a:effectRef idx="0">
          <a:scrgbClr r="0" g="0" b="0"/>
        </a:effectRef>
        <a:fontRef idx="minor"/>
      </dsp:style>
      <dsp:txXfrm>
        <a:off x="4860193" y="1955381"/>
        <a:ext cx="147577" cy="1151098"/>
      </dsp:txXfrm>
    </dsp:sp>
    <dsp:sp modelId="{C1BF9873-7A73-401E-891C-003E79A1C45F}">
      <dsp:nvSpPr>
        <dsp:cNvPr id="26" name="任意多边形 25"/>
        <dsp:cNvSpPr/>
      </dsp:nvSpPr>
      <dsp:spPr bwMode="white">
        <a:xfrm>
          <a:off x="3468053" y="558322"/>
          <a:ext cx="2976130" cy="905137"/>
        </a:xfrm>
        <a:custGeom>
          <a:avLst/>
          <a:gdLst/>
          <a:ahLst/>
          <a:cxnLst/>
          <a:pathLst>
            <a:path w="4687" h="1425">
              <a:moveTo>
                <a:pt x="0" y="0"/>
              </a:moveTo>
              <a:lnTo>
                <a:pt x="0" y="1263"/>
              </a:lnTo>
              <a:lnTo>
                <a:pt x="4687" y="1263"/>
              </a:lnTo>
              <a:lnTo>
                <a:pt x="4687" y="1425"/>
              </a:lnTo>
            </a:path>
          </a:pathLst>
        </a:custGeom>
      </dsp:spPr>
      <dsp:style>
        <a:lnRef idx="2">
          <a:schemeClr val="accent1">
            <a:shade val="60000"/>
          </a:schemeClr>
        </a:lnRef>
        <a:fillRef idx="0">
          <a:schemeClr val="accent1"/>
        </a:fillRef>
        <a:effectRef idx="0">
          <a:scrgbClr r="0" g="0" b="0"/>
        </a:effectRef>
        <a:fontRef idx="minor"/>
      </dsp:style>
      <dsp:txXfrm>
        <a:off x="3468053" y="558322"/>
        <a:ext cx="2976130" cy="905137"/>
      </dsp:txXfrm>
    </dsp:sp>
    <dsp:sp modelId="{E4EEF2D3-CB58-4E65-B98F-79F8166BEA73}">
      <dsp:nvSpPr>
        <dsp:cNvPr id="29" name="任意多边形 28"/>
        <dsp:cNvSpPr/>
      </dsp:nvSpPr>
      <dsp:spPr bwMode="white">
        <a:xfrm>
          <a:off x="3364749" y="558322"/>
          <a:ext cx="103304" cy="452569"/>
        </a:xfrm>
        <a:custGeom>
          <a:avLst/>
          <a:gdLst/>
          <a:ahLst/>
          <a:cxnLst/>
          <a:pathLst>
            <a:path w="163" h="713">
              <a:moveTo>
                <a:pt x="163" y="0"/>
              </a:moveTo>
              <a:lnTo>
                <a:pt x="163" y="713"/>
              </a:lnTo>
              <a:lnTo>
                <a:pt x="0" y="713"/>
              </a:lnTo>
            </a:path>
          </a:pathLst>
        </a:custGeom>
      </dsp:spPr>
      <dsp:style>
        <a:lnRef idx="2">
          <a:schemeClr val="accent1">
            <a:shade val="60000"/>
          </a:schemeClr>
        </a:lnRef>
        <a:fillRef idx="0">
          <a:schemeClr val="accent1"/>
        </a:fillRef>
        <a:effectRef idx="0">
          <a:scrgbClr r="0" g="0" b="0"/>
        </a:effectRef>
        <a:fontRef idx="minor"/>
      </dsp:style>
      <dsp:txXfrm>
        <a:off x="3364749" y="558322"/>
        <a:ext cx="103304" cy="452569"/>
      </dsp:txXfrm>
    </dsp:sp>
    <dsp:sp modelId="{29B1B02F-F3FA-4CFB-95E4-C07A58F22263}">
      <dsp:nvSpPr>
        <dsp:cNvPr id="3" name="矩形 2"/>
        <dsp:cNvSpPr/>
      </dsp:nvSpPr>
      <dsp:spPr bwMode="white">
        <a:xfrm>
          <a:off x="2976130" y="6639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总经理</a:t>
          </a:r>
        </a:p>
      </dsp:txBody>
      <dsp:txXfrm>
        <a:off x="2976130" y="66399"/>
        <a:ext cx="983845" cy="491922"/>
      </dsp:txXfrm>
    </dsp:sp>
    <dsp:sp modelId="{15124C24-53EB-4B15-A0B3-3E49495167BD}">
      <dsp:nvSpPr>
        <dsp:cNvPr id="6" name="矩形 5"/>
        <dsp:cNvSpPr/>
      </dsp:nvSpPr>
      <dsp:spPr bwMode="white">
        <a:xfrm>
          <a:off x="0"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zh-CN"/>
            <a:t>质检部</a:t>
          </a:r>
        </a:p>
      </dsp:txBody>
      <dsp:txXfrm>
        <a:off x="0" y="1463459"/>
        <a:ext cx="983845" cy="491922"/>
      </dsp:txXfrm>
    </dsp:sp>
    <dsp:sp modelId="{D6AC53F8-007A-4673-B734-06388EE60DA1}">
      <dsp:nvSpPr>
        <dsp:cNvPr id="9" name="矩形 8"/>
        <dsp:cNvSpPr/>
      </dsp:nvSpPr>
      <dsp:spPr bwMode="white">
        <a:xfrm>
          <a:off x="1190452"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办公室</a:t>
          </a:r>
        </a:p>
      </dsp:txBody>
      <dsp:txXfrm>
        <a:off x="1190452" y="1463459"/>
        <a:ext cx="983845" cy="491922"/>
      </dsp:txXfrm>
    </dsp:sp>
    <dsp:sp modelId="{B60E0CB2-253E-4E5B-A070-9F0E82FB0552}">
      <dsp:nvSpPr>
        <dsp:cNvPr id="12" name="矩形 11"/>
        <dsp:cNvSpPr/>
      </dsp:nvSpPr>
      <dsp:spPr bwMode="white">
        <a:xfrm>
          <a:off x="2380904"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销售部</a:t>
          </a:r>
        </a:p>
      </dsp:txBody>
      <dsp:txXfrm>
        <a:off x="2380904" y="1463459"/>
        <a:ext cx="983845" cy="491922"/>
      </dsp:txXfrm>
    </dsp:sp>
    <dsp:sp modelId="{F6F0F6FC-EFC0-4B49-9804-183A7A2B687D}">
      <dsp:nvSpPr>
        <dsp:cNvPr id="15" name="矩形 14"/>
        <dsp:cNvSpPr/>
      </dsp:nvSpPr>
      <dsp:spPr bwMode="white">
        <a:xfrm>
          <a:off x="3571356"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采购部</a:t>
          </a:r>
        </a:p>
      </dsp:txBody>
      <dsp:txXfrm>
        <a:off x="3571356" y="1463459"/>
        <a:ext cx="983845" cy="491922"/>
      </dsp:txXfrm>
    </dsp:sp>
    <dsp:sp modelId="{B47A79A2-BE40-468D-A2CA-CCCF14F23659}">
      <dsp:nvSpPr>
        <dsp:cNvPr id="18" name="矩形 17"/>
        <dsp:cNvSpPr/>
      </dsp:nvSpPr>
      <dsp:spPr bwMode="white">
        <a:xfrm>
          <a:off x="4761808"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生产部</a:t>
          </a:r>
        </a:p>
      </dsp:txBody>
      <dsp:txXfrm>
        <a:off x="4761808" y="1463459"/>
        <a:ext cx="983845" cy="491922"/>
      </dsp:txXfrm>
    </dsp:sp>
    <dsp:sp modelId="{8FCA0067-9DBF-4114-8727-B1A30211A40A}">
      <dsp:nvSpPr>
        <dsp:cNvPr id="21" name="矩形 20"/>
        <dsp:cNvSpPr/>
      </dsp:nvSpPr>
      <dsp:spPr bwMode="white">
        <a:xfrm>
          <a:off x="5007769" y="216198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车间</a:t>
          </a:r>
        </a:p>
      </dsp:txBody>
      <dsp:txXfrm>
        <a:off x="5007769" y="2161989"/>
        <a:ext cx="983845" cy="491922"/>
      </dsp:txXfrm>
    </dsp:sp>
    <dsp:sp modelId="{4C19508D-96DA-4229-8FCE-373BD8A36F8E}">
      <dsp:nvSpPr>
        <dsp:cNvPr id="24" name="矩形 23"/>
        <dsp:cNvSpPr/>
      </dsp:nvSpPr>
      <dsp:spPr bwMode="white">
        <a:xfrm>
          <a:off x="5007769" y="2860518"/>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仓库</a:t>
          </a:r>
        </a:p>
      </dsp:txBody>
      <dsp:txXfrm>
        <a:off x="5007769" y="2860518"/>
        <a:ext cx="983845" cy="491922"/>
      </dsp:txXfrm>
    </dsp:sp>
    <dsp:sp modelId="{44775E2D-A971-4334-A7AA-972D3BF9DCD3}">
      <dsp:nvSpPr>
        <dsp:cNvPr id="27" name="矩形 26"/>
        <dsp:cNvSpPr/>
      </dsp:nvSpPr>
      <dsp:spPr bwMode="white">
        <a:xfrm>
          <a:off x="5952260"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财务部</a:t>
          </a:r>
        </a:p>
      </dsp:txBody>
      <dsp:txXfrm>
        <a:off x="5952260" y="1463459"/>
        <a:ext cx="983845" cy="491922"/>
      </dsp:txXfrm>
    </dsp:sp>
    <dsp:sp modelId="{163B53BB-F855-4AB2-A153-FA9C48FD5099}">
      <dsp:nvSpPr>
        <dsp:cNvPr id="30" name="矩形 29"/>
        <dsp:cNvSpPr/>
      </dsp:nvSpPr>
      <dsp:spPr bwMode="white">
        <a:xfrm>
          <a:off x="2380904" y="76492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管理者代表</a:t>
          </a:r>
        </a:p>
      </dsp:txBody>
      <dsp:txXfrm>
        <a:off x="2380904" y="764929"/>
        <a:ext cx="983845" cy="491922"/>
      </dsp:txXfrm>
    </dsp:sp>
    <dsp:sp modelId="{7DD84276-E8D0-44F6-AB78-BD48B00743A9}">
      <dsp:nvSpPr>
        <dsp:cNvPr id="4" name="矩形 3" hidden="1"/>
        <dsp:cNvSpPr/>
      </dsp:nvSpPr>
      <dsp:spPr>
        <a:xfrm>
          <a:off x="2976130" y="66399"/>
          <a:ext cx="196769" cy="491922"/>
        </a:xfrm>
        <a:prstGeom prst="rect">
          <a:avLst/>
        </a:prstGeom>
      </dsp:spPr>
      <dsp:txXfrm>
        <a:off x="2976130" y="66399"/>
        <a:ext cx="196769" cy="491922"/>
      </dsp:txXfrm>
    </dsp:sp>
    <dsp:sp modelId="{76BDDAD4-8162-4373-ABF3-7005101F7748}">
      <dsp:nvSpPr>
        <dsp:cNvPr id="7" name="矩形 6" hidden="1"/>
        <dsp:cNvSpPr/>
      </dsp:nvSpPr>
      <dsp:spPr>
        <a:xfrm>
          <a:off x="0" y="1463459"/>
          <a:ext cx="196769" cy="491922"/>
        </a:xfrm>
        <a:prstGeom prst="rect">
          <a:avLst/>
        </a:prstGeom>
      </dsp:spPr>
      <dsp:txXfrm>
        <a:off x="0" y="1463459"/>
        <a:ext cx="196769" cy="491922"/>
      </dsp:txXfrm>
    </dsp:sp>
    <dsp:sp modelId="{CC9773F5-1FE8-41FD-AC54-34C3F125E452}">
      <dsp:nvSpPr>
        <dsp:cNvPr id="10" name="矩形 9" hidden="1"/>
        <dsp:cNvSpPr/>
      </dsp:nvSpPr>
      <dsp:spPr>
        <a:xfrm>
          <a:off x="1190452" y="1463459"/>
          <a:ext cx="196769" cy="491922"/>
        </a:xfrm>
        <a:prstGeom prst="rect">
          <a:avLst/>
        </a:prstGeom>
      </dsp:spPr>
      <dsp:txXfrm>
        <a:off x="1190452" y="1463459"/>
        <a:ext cx="196769" cy="491922"/>
      </dsp:txXfrm>
    </dsp:sp>
    <dsp:sp modelId="{4DA777FB-3A44-4F5A-ACC2-69897F24D186}">
      <dsp:nvSpPr>
        <dsp:cNvPr id="13" name="矩形 12" hidden="1"/>
        <dsp:cNvSpPr/>
      </dsp:nvSpPr>
      <dsp:spPr>
        <a:xfrm>
          <a:off x="2380904" y="1463459"/>
          <a:ext cx="196769" cy="491922"/>
        </a:xfrm>
        <a:prstGeom prst="rect">
          <a:avLst/>
        </a:prstGeom>
      </dsp:spPr>
      <dsp:txXfrm>
        <a:off x="2380904" y="1463459"/>
        <a:ext cx="196769" cy="491922"/>
      </dsp:txXfrm>
    </dsp:sp>
    <dsp:sp modelId="{EF418B4B-F731-480B-8501-9A78B28C04C3}">
      <dsp:nvSpPr>
        <dsp:cNvPr id="16" name="矩形 15" hidden="1"/>
        <dsp:cNvSpPr/>
      </dsp:nvSpPr>
      <dsp:spPr>
        <a:xfrm>
          <a:off x="3571356" y="1463459"/>
          <a:ext cx="196769" cy="491922"/>
        </a:xfrm>
        <a:prstGeom prst="rect">
          <a:avLst/>
        </a:prstGeom>
      </dsp:spPr>
      <dsp:txXfrm>
        <a:off x="3571356" y="1463459"/>
        <a:ext cx="196769" cy="491922"/>
      </dsp:txXfrm>
    </dsp:sp>
    <dsp:sp modelId="{2F16F5AD-1BE6-4DD4-9B48-951CC0A77E01}">
      <dsp:nvSpPr>
        <dsp:cNvPr id="19" name="矩形 18" hidden="1"/>
        <dsp:cNvSpPr/>
      </dsp:nvSpPr>
      <dsp:spPr>
        <a:xfrm>
          <a:off x="4761808" y="1463459"/>
          <a:ext cx="196769" cy="491922"/>
        </a:xfrm>
        <a:prstGeom prst="rect">
          <a:avLst/>
        </a:prstGeom>
      </dsp:spPr>
      <dsp:txXfrm>
        <a:off x="4761808" y="1463459"/>
        <a:ext cx="196769" cy="491922"/>
      </dsp:txXfrm>
    </dsp:sp>
    <dsp:sp modelId="{F349CAF2-5665-4894-9B41-B306618D3729}">
      <dsp:nvSpPr>
        <dsp:cNvPr id="22" name="矩形 21" hidden="1"/>
        <dsp:cNvSpPr/>
      </dsp:nvSpPr>
      <dsp:spPr>
        <a:xfrm>
          <a:off x="5007769" y="2161989"/>
          <a:ext cx="196769" cy="491922"/>
        </a:xfrm>
        <a:prstGeom prst="rect">
          <a:avLst/>
        </a:prstGeom>
      </dsp:spPr>
      <dsp:txXfrm>
        <a:off x="5007769" y="2161989"/>
        <a:ext cx="196769" cy="491922"/>
      </dsp:txXfrm>
    </dsp:sp>
    <dsp:sp modelId="{5D7D68DC-BEE0-4E9D-B72A-925F7F56DB27}">
      <dsp:nvSpPr>
        <dsp:cNvPr id="25" name="矩形 24" hidden="1"/>
        <dsp:cNvSpPr/>
      </dsp:nvSpPr>
      <dsp:spPr>
        <a:xfrm>
          <a:off x="5007769" y="2860518"/>
          <a:ext cx="196769" cy="491922"/>
        </a:xfrm>
        <a:prstGeom prst="rect">
          <a:avLst/>
        </a:prstGeom>
      </dsp:spPr>
      <dsp:txXfrm>
        <a:off x="5007769" y="2860518"/>
        <a:ext cx="196769" cy="491922"/>
      </dsp:txXfrm>
    </dsp:sp>
    <dsp:sp modelId="{780BD287-9BA8-4A92-BDA3-E1AD87AD98F0}">
      <dsp:nvSpPr>
        <dsp:cNvPr id="28" name="矩形 27" hidden="1"/>
        <dsp:cNvSpPr/>
      </dsp:nvSpPr>
      <dsp:spPr>
        <a:xfrm>
          <a:off x="5952260" y="1463459"/>
          <a:ext cx="196769" cy="491922"/>
        </a:xfrm>
        <a:prstGeom prst="rect">
          <a:avLst/>
        </a:prstGeom>
      </dsp:spPr>
      <dsp:txXfrm>
        <a:off x="5952260" y="1463459"/>
        <a:ext cx="196769" cy="491922"/>
      </dsp:txXfrm>
    </dsp:sp>
    <dsp:sp modelId="{63E85DDB-6D18-41FF-B58C-B4D3E5601E79}">
      <dsp:nvSpPr>
        <dsp:cNvPr id="31" name="矩形 30" hidden="1"/>
        <dsp:cNvSpPr/>
      </dsp:nvSpPr>
      <dsp:spPr>
        <a:xfrm>
          <a:off x="2380904" y="764929"/>
          <a:ext cx="196769" cy="491922"/>
        </a:xfrm>
        <a:prstGeom prst="rect">
          <a:avLst/>
        </a:prstGeom>
      </dsp:spPr>
      <dsp:txXfrm>
        <a:off x="2380904" y="764929"/>
        <a:ext cx="196769" cy="4919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8FEB-B299-49D4-8F4F-3BE97C42F26C}">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609</Words>
  <Characters>641</Characters>
  <Lines>66</Lines>
  <Paragraphs>18</Paragraphs>
  <TotalTime>106</TotalTime>
  <ScaleCrop>false</ScaleCrop>
  <LinksUpToDate>false</LinksUpToDate>
  <CharactersWithSpaces>643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2020-04-17T01:17:00Z</dcterms:created>
  <dc:creator>Meng Tang</dc:creator>
  <cp:lastModifiedBy>蝶为谁而舞</cp:lastModifiedBy>
  <dcterms:modified xsi:type="dcterms:W3CDTF">2026-07-02T23:50:29Z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eyJoZGlkIjoiNTM1MWI0ZjcwYWZkNmE3Y2RkODVjODE3ZTBkYmQwYzgiLCJ1c2VySWQiOiIyNDI0NzQzNDgifQ==</vt:lpwstr>
  </property>
  <property fmtid="{D5CDD505-2E9C-101B-9397-08002B2CF9AE}" pid="4" name="ICV">
    <vt:lpwstr>A2EBEA575774483CAF7BA32C7EFF9542_12</vt:lpwstr>
  </property>
</Properties>
</file>